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F8" w:rsidRDefault="00A814F8" w:rsidP="00A814F8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A814F8" w:rsidRDefault="00A814F8" w:rsidP="00A814F8">
      <w:pPr>
        <w:pStyle w:val="a3"/>
        <w:spacing w:line="560" w:lineRule="atLeast"/>
        <w:rPr>
          <w:rFonts w:hint="eastAsia"/>
        </w:rPr>
      </w:pPr>
    </w:p>
    <w:p w:rsidR="00A814F8" w:rsidRPr="00F91F45" w:rsidRDefault="00A814F8" w:rsidP="00A814F8">
      <w:pPr>
        <w:spacing w:line="560" w:lineRule="atLeast"/>
        <w:jc w:val="center"/>
        <w:rPr>
          <w:rFonts w:eastAsia="华文中宋" w:hAnsi="华文中宋"/>
          <w:b/>
          <w:sz w:val="44"/>
          <w:szCs w:val="44"/>
        </w:rPr>
      </w:pPr>
      <w:r w:rsidRPr="00F91F45">
        <w:rPr>
          <w:rFonts w:eastAsia="华文中宋" w:hAnsi="华文中宋" w:hint="eastAsia"/>
          <w:b/>
          <w:sz w:val="44"/>
          <w:szCs w:val="44"/>
        </w:rPr>
        <w:t>宁静小区建设试点申报材料清单</w:t>
      </w:r>
    </w:p>
    <w:bookmarkEnd w:id="0"/>
    <w:p w:rsidR="00A814F8" w:rsidRDefault="00A814F8" w:rsidP="00A814F8">
      <w:pPr>
        <w:pStyle w:val="a3"/>
        <w:spacing w:line="560" w:lineRule="atLeast"/>
      </w:pPr>
    </w:p>
    <w:p w:rsidR="00A814F8" w:rsidRPr="00F91F45" w:rsidRDefault="00A814F8" w:rsidP="00A814F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F91F45">
        <w:rPr>
          <w:rFonts w:ascii="黑体" w:eastAsia="黑体" w:hAnsi="黑体" w:hint="eastAsia"/>
          <w:sz w:val="32"/>
          <w:szCs w:val="32"/>
        </w:rPr>
        <w:t xml:space="preserve">    一、小区建设单位（居委会和物业服务企业）、所在街道办事处或镇政府、所在区生态环境局对申报宁静小区建设试点的意见（盖章）</w:t>
      </w:r>
    </w:p>
    <w:p w:rsidR="00A814F8" w:rsidRPr="00F91F45" w:rsidRDefault="00A814F8" w:rsidP="00A814F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91F45">
        <w:rPr>
          <w:rFonts w:ascii="黑体" w:eastAsia="黑体" w:hAnsi="黑体" w:hint="eastAsia"/>
          <w:sz w:val="32"/>
          <w:szCs w:val="32"/>
        </w:rPr>
        <w:t>二、宁静小区建设试点工作计划</w:t>
      </w:r>
    </w:p>
    <w:p w:rsidR="00A814F8" w:rsidRPr="00F91F45" w:rsidRDefault="00A814F8" w:rsidP="00A814F8">
      <w:pPr>
        <w:pStyle w:val="a3"/>
        <w:spacing w:line="600" w:lineRule="exact"/>
        <w:ind w:firstLine="640"/>
        <w:rPr>
          <w:rFonts w:ascii="楷体_GB2312" w:eastAsia="楷体_GB2312" w:hint="eastAsia"/>
          <w:sz w:val="32"/>
          <w:szCs w:val="32"/>
        </w:rPr>
      </w:pPr>
      <w:r w:rsidRPr="00F91F45">
        <w:rPr>
          <w:rFonts w:ascii="楷体_GB2312" w:eastAsia="楷体_GB2312" w:hint="eastAsia"/>
          <w:sz w:val="32"/>
          <w:szCs w:val="32"/>
        </w:rPr>
        <w:t>（一）小区基本情况及现有建设条件</w:t>
      </w:r>
    </w:p>
    <w:p w:rsidR="00A814F8" w:rsidRDefault="00A814F8" w:rsidP="00A814F8">
      <w:pPr>
        <w:pStyle w:val="a3"/>
        <w:spacing w:line="600" w:lineRule="exact"/>
        <w:ind w:firstLine="640"/>
      </w:pPr>
      <w:r>
        <w:rPr>
          <w:rFonts w:eastAsia="仿宋_GB2312" w:hint="eastAsia"/>
          <w:sz w:val="32"/>
          <w:szCs w:val="32"/>
        </w:rPr>
        <w:t>包括小区名称、地址、所在区和街道、所属居委会与物业服务企业，占地面积、建筑面积，总户数、常住人口、入住率、机动车与停车位数量，已获得的荣誉称号，小区所处的声环境功能区划类别，已采取的噪声管控相关措施等，并附小区平面图。</w:t>
      </w:r>
    </w:p>
    <w:p w:rsidR="00A814F8" w:rsidRPr="00F91F45" w:rsidRDefault="00A814F8" w:rsidP="00A814F8">
      <w:pPr>
        <w:pStyle w:val="a3"/>
        <w:spacing w:line="600" w:lineRule="exact"/>
        <w:ind w:firstLine="640"/>
        <w:rPr>
          <w:rFonts w:ascii="楷体_GB2312" w:eastAsia="楷体_GB2312" w:hint="eastAsia"/>
          <w:sz w:val="32"/>
          <w:szCs w:val="32"/>
        </w:rPr>
      </w:pPr>
      <w:r w:rsidRPr="00F91F45">
        <w:rPr>
          <w:rFonts w:ascii="楷体_GB2312" w:eastAsia="楷体_GB2312" w:hint="eastAsia"/>
          <w:sz w:val="32"/>
          <w:szCs w:val="32"/>
        </w:rPr>
        <w:t>（二）工作机制、工作内容、组织保障、进度安排与预期成效等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A814F8" w:rsidRPr="00576B54" w:rsidRDefault="00A814F8" w:rsidP="00A814F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76B54">
        <w:rPr>
          <w:rFonts w:ascii="黑体" w:eastAsia="黑体" w:hAnsi="黑体" w:hint="eastAsia"/>
          <w:sz w:val="32"/>
          <w:szCs w:val="32"/>
        </w:rPr>
        <w:t>三、噪声检测报告</w:t>
      </w:r>
    </w:p>
    <w:p w:rsidR="00A814F8" w:rsidRDefault="00A814F8" w:rsidP="00A814F8">
      <w:pPr>
        <w:numPr>
          <w:ilvl w:val="255"/>
          <w:numId w:val="0"/>
        </w:num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有环境噪声监测资质的检验检测机构，按以下要求出具：</w:t>
      </w:r>
    </w:p>
    <w:p w:rsidR="00A814F8" w:rsidRPr="00576B54" w:rsidRDefault="00A814F8" w:rsidP="00A814F8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576B54">
        <w:rPr>
          <w:rFonts w:ascii="楷体_GB2312" w:eastAsia="楷体_GB2312" w:hint="eastAsia"/>
          <w:sz w:val="32"/>
          <w:szCs w:val="32"/>
        </w:rPr>
        <w:t>（一）监测要求</w:t>
      </w:r>
    </w:p>
    <w:p w:rsidR="00A814F8" w:rsidRDefault="00A814F8" w:rsidP="00A814F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按</w:t>
      </w:r>
      <w:r>
        <w:rPr>
          <w:rFonts w:eastAsia="仿宋_GB2312" w:hint="eastAsia"/>
          <w:sz w:val="32"/>
          <w:szCs w:val="32"/>
        </w:rPr>
        <w:t>占地</w:t>
      </w:r>
      <w:r>
        <w:rPr>
          <w:rFonts w:eastAsia="仿宋_GB2312"/>
          <w:sz w:val="32"/>
          <w:szCs w:val="32"/>
        </w:rPr>
        <w:t>面积大小每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万平方米设置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个测点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在小区内部均匀布点，最少要设置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个测点，距离任何反射物（地面除外）至少</w:t>
      </w:r>
      <w:r>
        <w:rPr>
          <w:rFonts w:eastAsia="仿宋_GB2312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米外，</w:t>
      </w:r>
      <w:r>
        <w:rPr>
          <w:rFonts w:eastAsia="仿宋_GB2312" w:hint="eastAsia"/>
          <w:sz w:val="32"/>
          <w:szCs w:val="32"/>
        </w:rPr>
        <w:t>距</w:t>
      </w:r>
      <w:r>
        <w:rPr>
          <w:rFonts w:eastAsia="仿宋_GB2312"/>
          <w:sz w:val="32"/>
          <w:szCs w:val="32"/>
        </w:rPr>
        <w:t>地面</w:t>
      </w:r>
      <w:r>
        <w:rPr>
          <w:rFonts w:eastAsia="仿宋_GB2312" w:hint="eastAsia"/>
          <w:sz w:val="32"/>
          <w:szCs w:val="32"/>
        </w:rPr>
        <w:t>高度</w:t>
      </w:r>
      <w:r>
        <w:rPr>
          <w:rFonts w:eastAsia="仿宋_GB2312"/>
          <w:sz w:val="32"/>
          <w:szCs w:val="32"/>
        </w:rPr>
        <w:t>1.2</w:t>
      </w:r>
      <w:r>
        <w:rPr>
          <w:rFonts w:eastAsia="仿宋_GB2312"/>
          <w:sz w:val="32"/>
          <w:szCs w:val="32"/>
        </w:rPr>
        <w:t>米以上</w:t>
      </w:r>
      <w:r>
        <w:rPr>
          <w:rFonts w:eastAsia="仿宋_GB2312" w:hint="eastAsia"/>
          <w:sz w:val="32"/>
          <w:szCs w:val="32"/>
        </w:rPr>
        <w:t>，必要时可置于</w:t>
      </w: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层以上居民住宅户外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米处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测量应在无雨雪、无雷电天气，风速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秒以下时进行。</w:t>
      </w:r>
      <w:r>
        <w:rPr>
          <w:rFonts w:eastAsia="仿宋_GB2312"/>
          <w:sz w:val="32"/>
          <w:szCs w:val="32"/>
        </w:rPr>
        <w:t>沿交通干线两侧的小区，监测点根据《上海市</w:t>
      </w:r>
      <w:r>
        <w:rPr>
          <w:rFonts w:eastAsia="仿宋_GB2312" w:hint="eastAsia"/>
          <w:sz w:val="32"/>
          <w:szCs w:val="32"/>
        </w:rPr>
        <w:t>声环境功能区</w:t>
      </w:r>
      <w:r>
        <w:rPr>
          <w:rFonts w:eastAsia="仿宋_GB2312"/>
          <w:sz w:val="32"/>
          <w:szCs w:val="32"/>
        </w:rPr>
        <w:t>划（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年修订</w:t>
      </w:r>
      <w:r>
        <w:rPr>
          <w:rFonts w:eastAsia="仿宋_GB2312" w:hint="eastAsia"/>
          <w:sz w:val="32"/>
          <w:szCs w:val="32"/>
        </w:rPr>
        <w:t>版</w:t>
      </w:r>
      <w:r>
        <w:rPr>
          <w:rFonts w:eastAsia="仿宋_GB2312"/>
          <w:sz w:val="32"/>
          <w:szCs w:val="32"/>
        </w:rPr>
        <w:t>）》</w:t>
      </w:r>
      <w:r>
        <w:rPr>
          <w:rFonts w:eastAsia="仿宋_GB2312"/>
          <w:sz w:val="32"/>
          <w:szCs w:val="32"/>
        </w:rPr>
        <w:t>2.2.2</w:t>
      </w:r>
      <w:r>
        <w:rPr>
          <w:rFonts w:eastAsia="仿宋_GB2312"/>
          <w:sz w:val="32"/>
          <w:szCs w:val="32"/>
        </w:rPr>
        <w:t>款要求，设置在小区内部距</w:t>
      </w:r>
      <w:r>
        <w:rPr>
          <w:rFonts w:eastAsia="仿宋_GB2312" w:hint="eastAsia"/>
          <w:sz w:val="32"/>
          <w:szCs w:val="32"/>
        </w:rPr>
        <w:t>交通用地边界线</w:t>
      </w:r>
      <w:r>
        <w:rPr>
          <w:rFonts w:eastAsia="仿宋_GB2312"/>
          <w:sz w:val="32"/>
          <w:szCs w:val="32"/>
        </w:rPr>
        <w:t>一定距离</w:t>
      </w:r>
      <w:r>
        <w:rPr>
          <w:rFonts w:eastAsia="仿宋_GB2312" w:hint="eastAsia"/>
          <w:sz w:val="32"/>
          <w:szCs w:val="32"/>
        </w:rPr>
        <w:t>外（避免设置于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类区）</w:t>
      </w:r>
      <w:r>
        <w:rPr>
          <w:rFonts w:eastAsia="仿宋_GB2312"/>
          <w:sz w:val="32"/>
          <w:szCs w:val="32"/>
        </w:rPr>
        <w:t>。</w:t>
      </w:r>
    </w:p>
    <w:p w:rsidR="00A814F8" w:rsidRDefault="00A814F8" w:rsidP="00A814F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每个测点进行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小时连续监测</w:t>
      </w:r>
      <w:r>
        <w:rPr>
          <w:rFonts w:eastAsia="仿宋_GB2312" w:hint="eastAsia"/>
          <w:sz w:val="32"/>
          <w:szCs w:val="32"/>
        </w:rPr>
        <w:t>，得出每小时及昼间、夜间等效声级</w:t>
      </w:r>
      <w:r>
        <w:rPr>
          <w:rFonts w:eastAsia="仿宋_GB2312" w:hint="eastAsia"/>
          <w:i/>
          <w:iCs/>
          <w:sz w:val="32"/>
          <w:szCs w:val="32"/>
        </w:rPr>
        <w:t>L</w:t>
      </w:r>
      <w:r>
        <w:rPr>
          <w:rFonts w:eastAsia="仿宋_GB2312" w:hint="eastAsia"/>
          <w:sz w:val="32"/>
          <w:szCs w:val="32"/>
          <w:vertAlign w:val="subscript"/>
        </w:rPr>
        <w:t>eq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i/>
          <w:iCs/>
          <w:sz w:val="32"/>
          <w:szCs w:val="32"/>
        </w:rPr>
        <w:t>L</w:t>
      </w:r>
      <w:r>
        <w:rPr>
          <w:rFonts w:eastAsia="仿宋_GB2312" w:hint="eastAsia"/>
          <w:sz w:val="32"/>
          <w:szCs w:val="32"/>
          <w:vertAlign w:val="subscript"/>
        </w:rPr>
        <w:t>d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i/>
          <w:iCs/>
          <w:sz w:val="32"/>
          <w:szCs w:val="32"/>
        </w:rPr>
        <w:t>L</w:t>
      </w:r>
      <w:r>
        <w:rPr>
          <w:rFonts w:eastAsia="仿宋_GB2312" w:hint="eastAsia"/>
          <w:sz w:val="32"/>
          <w:szCs w:val="32"/>
          <w:vertAlign w:val="subscript"/>
        </w:rPr>
        <w:t>n</w:t>
      </w:r>
      <w:r>
        <w:rPr>
          <w:rFonts w:eastAsia="仿宋_GB2312"/>
          <w:sz w:val="32"/>
          <w:szCs w:val="32"/>
        </w:rPr>
        <w:t>。</w:t>
      </w:r>
    </w:p>
    <w:p w:rsidR="00A814F8" w:rsidRPr="00576B54" w:rsidRDefault="00A814F8" w:rsidP="00A814F8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576B54">
        <w:rPr>
          <w:rFonts w:ascii="楷体_GB2312" w:eastAsia="楷体_GB2312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二</w:t>
      </w:r>
      <w:r w:rsidRPr="00576B54">
        <w:rPr>
          <w:rFonts w:ascii="楷体_GB2312" w:eastAsia="楷体_GB2312"/>
          <w:sz w:val="32"/>
          <w:szCs w:val="32"/>
        </w:rPr>
        <w:t>）结果评价</w:t>
      </w:r>
    </w:p>
    <w:p w:rsidR="002836F2" w:rsidRPr="00A814F8" w:rsidRDefault="00A814F8" w:rsidP="00A814F8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将小区全部环境噪声监测点测得的昼间等效声级</w:t>
      </w:r>
      <w:r>
        <w:rPr>
          <w:rFonts w:eastAsia="仿宋_GB2312"/>
          <w:i/>
          <w:iCs/>
          <w:sz w:val="32"/>
          <w:szCs w:val="32"/>
        </w:rPr>
        <w:t>L</w:t>
      </w:r>
      <w:r>
        <w:rPr>
          <w:rFonts w:eastAsia="仿宋_GB2312"/>
          <w:sz w:val="32"/>
          <w:szCs w:val="32"/>
          <w:vertAlign w:val="subscript"/>
        </w:rPr>
        <w:t>d</w:t>
      </w:r>
      <w:r>
        <w:rPr>
          <w:rFonts w:eastAsia="仿宋_GB2312"/>
          <w:sz w:val="32"/>
          <w:szCs w:val="32"/>
        </w:rPr>
        <w:t>和夜间等效声级</w:t>
      </w:r>
      <w:r>
        <w:rPr>
          <w:rFonts w:eastAsia="仿宋_GB2312"/>
          <w:i/>
          <w:iCs/>
          <w:sz w:val="32"/>
          <w:szCs w:val="32"/>
        </w:rPr>
        <w:t>L</w:t>
      </w:r>
      <w:r>
        <w:rPr>
          <w:rFonts w:eastAsia="仿宋_GB2312"/>
          <w:sz w:val="32"/>
          <w:szCs w:val="32"/>
          <w:vertAlign w:val="subscript"/>
        </w:rPr>
        <w:t>n</w:t>
      </w:r>
      <w:r>
        <w:rPr>
          <w:rFonts w:eastAsia="仿宋_GB2312" w:hint="eastAsia"/>
          <w:sz w:val="32"/>
          <w:szCs w:val="32"/>
        </w:rPr>
        <w:t>分别</w:t>
      </w:r>
      <w:r>
        <w:rPr>
          <w:rFonts w:eastAsia="仿宋_GB2312"/>
          <w:sz w:val="32"/>
          <w:szCs w:val="32"/>
        </w:rPr>
        <w:t>做算术平均，所得的平均值代表小区的</w:t>
      </w:r>
      <w:r>
        <w:rPr>
          <w:rFonts w:eastAsia="仿宋_GB2312" w:hint="eastAsia"/>
          <w:sz w:val="32"/>
          <w:szCs w:val="32"/>
        </w:rPr>
        <w:t>昼间、夜间</w:t>
      </w:r>
      <w:r>
        <w:rPr>
          <w:rFonts w:eastAsia="仿宋_GB2312"/>
          <w:sz w:val="32"/>
          <w:szCs w:val="32"/>
        </w:rPr>
        <w:t>总体环境噪声水平。</w:t>
      </w:r>
    </w:p>
    <w:sectPr w:rsidR="002836F2" w:rsidRPr="00A814F8">
      <w:foot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45" w:rsidRDefault="00A814F8" w:rsidP="00F91F45">
    <w:pPr>
      <w:pStyle w:val="a4"/>
      <w:ind w:firstLineChars="50" w:firstLine="14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F8"/>
    <w:rsid w:val="005267D5"/>
    <w:rsid w:val="00A814F8"/>
    <w:rsid w:val="00C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A5C8-FC48-474B-9DB6-A2CD03DD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81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A814F8"/>
    <w:pPr>
      <w:ind w:firstLineChars="200" w:firstLine="420"/>
    </w:pPr>
  </w:style>
  <w:style w:type="character" w:customStyle="1" w:styleId="Char">
    <w:name w:val="正文缩进 Char"/>
    <w:link w:val="a3"/>
    <w:rsid w:val="00A814F8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qFormat/>
    <w:rsid w:val="00A8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14F8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814F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814F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814F8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814F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中国石油大学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佳婕</dc:creator>
  <cp:keywords/>
  <dc:description/>
  <cp:lastModifiedBy>贺 佳婕</cp:lastModifiedBy>
  <cp:revision>1</cp:revision>
  <dcterms:created xsi:type="dcterms:W3CDTF">2023-08-17T09:13:00Z</dcterms:created>
  <dcterms:modified xsi:type="dcterms:W3CDTF">2023-08-17T09:13:00Z</dcterms:modified>
</cp:coreProperties>
</file>