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AB54" w14:textId="56252A79" w:rsidR="00521B6C" w:rsidRPr="00AD69FC" w:rsidRDefault="007F7FAB">
      <w:pPr>
        <w:rPr>
          <w:rFonts w:ascii="Times New Roman" w:eastAsia="仿宋_GB2312" w:hAnsi="Times New Roman" w:cs="Times New Roman"/>
          <w:b/>
          <w:bCs/>
          <w:sz w:val="28"/>
          <w:szCs w:val="28"/>
        </w:rPr>
      </w:pPr>
      <w:r w:rsidRPr="007F7FAB">
        <w:rPr>
          <w:rFonts w:ascii="Times New Roman" w:eastAsia="仿宋_GB2312" w:hAnsi="Times New Roman" w:cs="Times New Roman" w:hint="eastAsia"/>
          <w:b/>
          <w:bCs/>
          <w:sz w:val="28"/>
          <w:szCs w:val="28"/>
        </w:rPr>
        <w:t>Emission standard of air pollutants for hazardous waste incineration</w:t>
      </w:r>
    </w:p>
    <w:p w14:paraId="6FDF799E" w14:textId="77777777" w:rsidR="00B46175" w:rsidRDefault="00B46175">
      <w:pPr>
        <w:rPr>
          <w:rFonts w:ascii="Times New Roman" w:eastAsia="仿宋_GB2312" w:hAnsi="Times New Roman" w:cs="Times New Roman"/>
          <w:sz w:val="28"/>
          <w:szCs w:val="28"/>
        </w:rPr>
      </w:pPr>
    </w:p>
    <w:p w14:paraId="030F5E59" w14:textId="4CCB0EB4" w:rsidR="00B46175" w:rsidRPr="00AD69FC" w:rsidRDefault="00B46175">
      <w:pPr>
        <w:rPr>
          <w:rFonts w:ascii="Times New Roman" w:eastAsia="仿宋_GB2312" w:hAnsi="Times New Roman" w:cs="Times New Roman"/>
          <w:b/>
          <w:bCs/>
          <w:sz w:val="28"/>
          <w:szCs w:val="28"/>
        </w:rPr>
      </w:pPr>
      <w:r w:rsidRPr="00AD69FC">
        <w:rPr>
          <w:rFonts w:ascii="Times New Roman" w:eastAsia="仿宋_GB2312" w:hAnsi="Times New Roman" w:cs="Times New Roman" w:hint="eastAsia"/>
          <w:b/>
          <w:bCs/>
          <w:sz w:val="28"/>
          <w:szCs w:val="28"/>
        </w:rPr>
        <w:t>Abstract</w:t>
      </w:r>
      <w:r w:rsidRPr="00AD69FC">
        <w:rPr>
          <w:rFonts w:ascii="Times New Roman" w:eastAsia="仿宋_GB2312" w:hAnsi="Times New Roman" w:cs="Times New Roman" w:hint="eastAsia"/>
          <w:b/>
          <w:bCs/>
          <w:sz w:val="28"/>
          <w:szCs w:val="28"/>
        </w:rPr>
        <w:t>：</w:t>
      </w:r>
    </w:p>
    <w:p w14:paraId="158D3861" w14:textId="07B019A3" w:rsidR="00CA76C5" w:rsidRDefault="00780FF2" w:rsidP="00B46175">
      <w:pPr>
        <w:rPr>
          <w:rFonts w:ascii="Times New Roman" w:eastAsia="仿宋_GB2312" w:hAnsi="Times New Roman" w:cs="Times New Roman"/>
          <w:sz w:val="28"/>
          <w:szCs w:val="28"/>
          <w:lang w:val="x-none"/>
        </w:rPr>
      </w:pPr>
      <w:bookmarkStart w:id="0" w:name="OLE_LINK6"/>
      <w:r>
        <w:rPr>
          <w:rFonts w:ascii="Times New Roman" w:eastAsia="仿宋_GB2312" w:hAnsi="Times New Roman" w:cs="Times New Roman" w:hint="eastAsia"/>
          <w:sz w:val="28"/>
          <w:szCs w:val="28"/>
          <w:lang w:val="x-none"/>
        </w:rPr>
        <w:t xml:space="preserve">1. </w:t>
      </w:r>
      <w:r w:rsidR="0089576B" w:rsidRPr="0089576B">
        <w:rPr>
          <w:rFonts w:ascii="Times New Roman" w:eastAsia="仿宋_GB2312" w:hAnsi="Times New Roman" w:cs="Times New Roman" w:hint="eastAsia"/>
          <w:sz w:val="28"/>
          <w:szCs w:val="28"/>
          <w:lang w:val="x-none"/>
        </w:rPr>
        <w:t>This document specifies the process performance requirements for pollution control, emission control requirements, pollutant monitoring requirements, compliance judgment, as well as implementation and supervision of air pollutants from existing hazardous waste incineration facilities (excluding medical waste and polychlorinated biphenyl waste).</w:t>
      </w:r>
    </w:p>
    <w:p w14:paraId="5A58E8E9" w14:textId="4D9E9FE0" w:rsidR="000A06B4" w:rsidRDefault="00C83E7F" w:rsidP="00B46175">
      <w:pPr>
        <w:rPr>
          <w:rFonts w:ascii="Times New Roman" w:eastAsia="仿宋_GB2312" w:hAnsi="Times New Roman" w:cs="Times New Roman"/>
          <w:sz w:val="28"/>
          <w:szCs w:val="28"/>
          <w:lang w:val="x-none"/>
        </w:rPr>
      </w:pPr>
      <w:r>
        <w:rPr>
          <w:rFonts w:ascii="Times New Roman" w:eastAsia="仿宋_GB2312" w:hAnsi="Times New Roman" w:cs="Times New Roman" w:hint="eastAsia"/>
          <w:sz w:val="28"/>
          <w:szCs w:val="28"/>
          <w:lang w:val="x-none"/>
        </w:rPr>
        <w:t xml:space="preserve">2. </w:t>
      </w:r>
      <w:r w:rsidR="000A06B4" w:rsidRPr="000A06B4">
        <w:rPr>
          <w:rFonts w:ascii="Times New Roman" w:eastAsia="仿宋_GB2312" w:hAnsi="Times New Roman" w:cs="Times New Roman" w:hint="eastAsia"/>
          <w:sz w:val="28"/>
          <w:szCs w:val="28"/>
          <w:lang w:val="x-none"/>
        </w:rPr>
        <w:t>The process performance indicators for hazardous waste incineration facilities are as follows</w:t>
      </w:r>
      <w:r w:rsidR="000A06B4">
        <w:rPr>
          <w:rFonts w:ascii="Times New Roman" w:eastAsia="仿宋_GB2312" w:hAnsi="Times New Roman" w:cs="Times New Roman" w:hint="eastAsia"/>
          <w:sz w:val="28"/>
          <w:szCs w:val="28"/>
          <w:lang w:val="x-none"/>
        </w:rPr>
        <w:t>：</w:t>
      </w:r>
    </w:p>
    <w:tbl>
      <w:tblPr>
        <w:tblStyle w:val="af3"/>
        <w:tblW w:w="8729"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09"/>
        <w:gridCol w:w="1134"/>
        <w:gridCol w:w="851"/>
        <w:gridCol w:w="1657"/>
        <w:gridCol w:w="789"/>
        <w:gridCol w:w="834"/>
        <w:gridCol w:w="970"/>
        <w:gridCol w:w="970"/>
        <w:gridCol w:w="815"/>
      </w:tblGrid>
      <w:tr w:rsidR="00BB0D89" w14:paraId="3FC5A081" w14:textId="77777777" w:rsidTr="00843AA1">
        <w:trPr>
          <w:trHeight w:val="1796"/>
          <w:tblHeader/>
          <w:jc w:val="center"/>
        </w:trPr>
        <w:tc>
          <w:tcPr>
            <w:tcW w:w="709" w:type="dxa"/>
            <w:tcBorders>
              <w:top w:val="single" w:sz="8" w:space="0" w:color="auto"/>
              <w:bottom w:val="single" w:sz="8" w:space="0" w:color="auto"/>
            </w:tcBorders>
            <w:vAlign w:val="center"/>
          </w:tcPr>
          <w:p w14:paraId="162CF2AC" w14:textId="06A41795" w:rsidR="00DB194A" w:rsidRPr="00D74CC0" w:rsidRDefault="0032447F" w:rsidP="0009589C">
            <w:pPr>
              <w:pStyle w:val="af4"/>
              <w:rPr>
                <w:rFonts w:ascii="Times New Roman"/>
              </w:rPr>
            </w:pPr>
            <w:bookmarkStart w:id="1" w:name="_Hlk183462404"/>
            <w:r w:rsidRPr="00D74CC0">
              <w:rPr>
                <w:rFonts w:ascii="Times New Roman"/>
              </w:rPr>
              <w:t>Indicator</w:t>
            </w:r>
          </w:p>
        </w:tc>
        <w:tc>
          <w:tcPr>
            <w:tcW w:w="1134" w:type="dxa"/>
            <w:tcBorders>
              <w:top w:val="single" w:sz="8" w:space="0" w:color="auto"/>
              <w:bottom w:val="single" w:sz="8" w:space="0" w:color="auto"/>
            </w:tcBorders>
            <w:vAlign w:val="center"/>
          </w:tcPr>
          <w:p w14:paraId="56406D14" w14:textId="5FB7C28B" w:rsidR="00DB194A" w:rsidRPr="00D74CC0" w:rsidRDefault="00DB194A" w:rsidP="00DB194A">
            <w:pPr>
              <w:spacing w:line="240" w:lineRule="auto"/>
              <w:jc w:val="center"/>
              <w:rPr>
                <w:sz w:val="18"/>
                <w:szCs w:val="18"/>
              </w:rPr>
            </w:pPr>
            <w:r w:rsidRPr="00D74CC0">
              <w:rPr>
                <w:sz w:val="18"/>
                <w:szCs w:val="18"/>
              </w:rPr>
              <w:t>Temperature in high-temperature zone of incinerator</w:t>
            </w:r>
            <w:r w:rsidRPr="00D74CC0">
              <w:rPr>
                <w:sz w:val="18"/>
                <w:szCs w:val="18"/>
              </w:rPr>
              <w:t xml:space="preserve">, </w:t>
            </w:r>
            <w:r w:rsidRPr="00D74CC0">
              <w:rPr>
                <w:sz w:val="18"/>
                <w:szCs w:val="18"/>
              </w:rPr>
              <w:t>℃</w:t>
            </w:r>
          </w:p>
        </w:tc>
        <w:tc>
          <w:tcPr>
            <w:tcW w:w="851" w:type="dxa"/>
            <w:tcBorders>
              <w:top w:val="single" w:sz="8" w:space="0" w:color="auto"/>
              <w:bottom w:val="single" w:sz="8" w:space="0" w:color="auto"/>
            </w:tcBorders>
            <w:vAlign w:val="center"/>
          </w:tcPr>
          <w:p w14:paraId="678FD689" w14:textId="022BFE0C" w:rsidR="00DB194A" w:rsidRPr="00D74CC0" w:rsidRDefault="0032447F" w:rsidP="0009589C">
            <w:pPr>
              <w:spacing w:line="240" w:lineRule="auto"/>
              <w:jc w:val="center"/>
              <w:rPr>
                <w:sz w:val="18"/>
                <w:szCs w:val="18"/>
              </w:rPr>
            </w:pPr>
            <w:r w:rsidRPr="00D74CC0">
              <w:rPr>
                <w:sz w:val="18"/>
                <w:szCs w:val="18"/>
              </w:rPr>
              <w:t>Flue gas residence time</w:t>
            </w:r>
            <w:r w:rsidRPr="00D74CC0">
              <w:rPr>
                <w:sz w:val="18"/>
                <w:szCs w:val="18"/>
              </w:rPr>
              <w:t xml:space="preserve">, </w:t>
            </w:r>
            <w:r w:rsidR="00DB194A" w:rsidRPr="00D74CC0">
              <w:rPr>
                <w:sz w:val="18"/>
                <w:szCs w:val="18"/>
              </w:rPr>
              <w:t>s</w:t>
            </w:r>
          </w:p>
        </w:tc>
        <w:tc>
          <w:tcPr>
            <w:tcW w:w="1657" w:type="dxa"/>
            <w:tcBorders>
              <w:top w:val="single" w:sz="8" w:space="0" w:color="auto"/>
              <w:bottom w:val="single" w:sz="8" w:space="0" w:color="auto"/>
            </w:tcBorders>
            <w:vAlign w:val="center"/>
          </w:tcPr>
          <w:p w14:paraId="1ADBA428" w14:textId="090D3E71" w:rsidR="00DB194A" w:rsidRPr="00D74CC0" w:rsidRDefault="00D0273C" w:rsidP="0009589C">
            <w:pPr>
              <w:spacing w:line="240" w:lineRule="auto"/>
              <w:jc w:val="center"/>
              <w:rPr>
                <w:sz w:val="18"/>
                <w:szCs w:val="18"/>
              </w:rPr>
            </w:pPr>
            <w:r w:rsidRPr="00D74CC0">
              <w:rPr>
                <w:sz w:val="18"/>
                <w:szCs w:val="18"/>
              </w:rPr>
              <w:t>Oxygen content in flue gas</w:t>
            </w:r>
            <w:r w:rsidRPr="00D74CC0">
              <w:rPr>
                <w:sz w:val="18"/>
                <w:szCs w:val="18"/>
              </w:rPr>
              <w:t xml:space="preserve">, </w:t>
            </w:r>
            <w:r w:rsidR="00DB194A" w:rsidRPr="00D74CC0">
              <w:rPr>
                <w:sz w:val="18"/>
                <w:szCs w:val="18"/>
              </w:rPr>
              <w:t>%</w:t>
            </w:r>
          </w:p>
          <w:p w14:paraId="7735554A" w14:textId="216152DC" w:rsidR="00DB194A" w:rsidRPr="00D74CC0" w:rsidRDefault="00C2075E" w:rsidP="00D0273C">
            <w:pPr>
              <w:spacing w:line="240" w:lineRule="auto"/>
              <w:rPr>
                <w:sz w:val="18"/>
                <w:szCs w:val="18"/>
              </w:rPr>
            </w:pPr>
            <w:r w:rsidRPr="00D74CC0">
              <w:rPr>
                <w:sz w:val="18"/>
                <w:szCs w:val="18"/>
              </w:rPr>
              <w:t>(</w:t>
            </w:r>
            <w:r w:rsidRPr="00D74CC0">
              <w:rPr>
                <w:sz w:val="18"/>
                <w:szCs w:val="18"/>
              </w:rPr>
              <w:t>stack sampling port</w:t>
            </w:r>
            <w:r w:rsidRPr="00D74CC0">
              <w:rPr>
                <w:sz w:val="18"/>
                <w:szCs w:val="18"/>
              </w:rPr>
              <w:t>)</w:t>
            </w:r>
          </w:p>
        </w:tc>
        <w:tc>
          <w:tcPr>
            <w:tcW w:w="1623" w:type="dxa"/>
            <w:gridSpan w:val="2"/>
            <w:tcBorders>
              <w:top w:val="single" w:sz="8" w:space="0" w:color="auto"/>
              <w:bottom w:val="single" w:sz="8" w:space="0" w:color="auto"/>
            </w:tcBorders>
          </w:tcPr>
          <w:p w14:paraId="68F26049" w14:textId="3FF9BC36" w:rsidR="00DB194A" w:rsidRPr="00D74CC0" w:rsidRDefault="00FC5FD3" w:rsidP="0009589C">
            <w:pPr>
              <w:pStyle w:val="af4"/>
              <w:rPr>
                <w:rFonts w:ascii="Times New Roman"/>
                <w:szCs w:val="18"/>
              </w:rPr>
            </w:pPr>
            <w:r w:rsidRPr="00D74CC0">
              <w:rPr>
                <w:rFonts w:ascii="Times New Roman"/>
                <w:szCs w:val="18"/>
              </w:rPr>
              <w:t>Carbon monoxide concentration in flue gas</w:t>
            </w:r>
            <w:r w:rsidRPr="00D74CC0">
              <w:rPr>
                <w:rFonts w:ascii="Times New Roman"/>
                <w:szCs w:val="18"/>
              </w:rPr>
              <w:t xml:space="preserve">, </w:t>
            </w:r>
            <w:r w:rsidR="00DB194A" w:rsidRPr="00D74CC0">
              <w:rPr>
                <w:rFonts w:ascii="Times New Roman"/>
                <w:szCs w:val="18"/>
              </w:rPr>
              <w:t>mg/m</w:t>
            </w:r>
            <w:r w:rsidR="00DB194A" w:rsidRPr="00D74CC0">
              <w:rPr>
                <w:rFonts w:ascii="Times New Roman"/>
                <w:szCs w:val="18"/>
                <w:vertAlign w:val="superscript"/>
              </w:rPr>
              <w:t>3</w:t>
            </w:r>
          </w:p>
          <w:p w14:paraId="3564D2BF" w14:textId="46108FE1" w:rsidR="00DB194A" w:rsidRPr="00D74CC0" w:rsidRDefault="00FC5FD3" w:rsidP="0009589C">
            <w:pPr>
              <w:pStyle w:val="af4"/>
              <w:rPr>
                <w:rFonts w:ascii="Times New Roman"/>
                <w:szCs w:val="18"/>
              </w:rPr>
            </w:pPr>
            <w:r w:rsidRPr="00D74CC0">
              <w:rPr>
                <w:rFonts w:ascii="Times New Roman"/>
                <w:szCs w:val="18"/>
              </w:rPr>
              <w:t>(stack sampling port)</w:t>
            </w:r>
          </w:p>
        </w:tc>
        <w:tc>
          <w:tcPr>
            <w:tcW w:w="970" w:type="dxa"/>
            <w:tcBorders>
              <w:top w:val="single" w:sz="8" w:space="0" w:color="auto"/>
              <w:bottom w:val="single" w:sz="8" w:space="0" w:color="auto"/>
            </w:tcBorders>
            <w:vAlign w:val="center"/>
          </w:tcPr>
          <w:p w14:paraId="28892E2D" w14:textId="3AAB5257" w:rsidR="00DB194A" w:rsidRPr="00D74CC0" w:rsidRDefault="006671BB" w:rsidP="0009589C">
            <w:pPr>
              <w:pStyle w:val="af4"/>
              <w:rPr>
                <w:rFonts w:ascii="Times New Roman"/>
              </w:rPr>
            </w:pPr>
            <w:r w:rsidRPr="00D74CC0">
              <w:rPr>
                <w:rFonts w:ascii="Times New Roman"/>
                <w:szCs w:val="18"/>
              </w:rPr>
              <w:t>Combustion efficiency</w:t>
            </w:r>
            <w:r w:rsidRPr="00D74CC0">
              <w:rPr>
                <w:rFonts w:ascii="Times New Roman"/>
                <w:szCs w:val="18"/>
              </w:rPr>
              <w:t xml:space="preserve">, </w:t>
            </w:r>
            <w:r w:rsidR="00DB194A" w:rsidRPr="00D74CC0">
              <w:rPr>
                <w:rFonts w:ascii="Times New Roman"/>
                <w:kern w:val="2"/>
                <w:szCs w:val="18"/>
              </w:rPr>
              <w:t>%</w:t>
            </w:r>
          </w:p>
        </w:tc>
        <w:tc>
          <w:tcPr>
            <w:tcW w:w="970" w:type="dxa"/>
            <w:tcBorders>
              <w:top w:val="single" w:sz="8" w:space="0" w:color="auto"/>
              <w:bottom w:val="single" w:sz="8" w:space="0" w:color="auto"/>
            </w:tcBorders>
            <w:vAlign w:val="center"/>
          </w:tcPr>
          <w:p w14:paraId="4633DBB2" w14:textId="1B879FE7" w:rsidR="00DB194A" w:rsidRPr="00D74CC0" w:rsidRDefault="000C284C" w:rsidP="0009589C">
            <w:pPr>
              <w:pStyle w:val="af4"/>
              <w:rPr>
                <w:rFonts w:ascii="Times New Roman"/>
                <w:szCs w:val="18"/>
              </w:rPr>
            </w:pPr>
            <w:r w:rsidRPr="00D74CC0">
              <w:rPr>
                <w:rFonts w:ascii="Times New Roman"/>
                <w:szCs w:val="18"/>
              </w:rPr>
              <w:t>D</w:t>
            </w:r>
            <w:r w:rsidRPr="00D74CC0">
              <w:rPr>
                <w:rFonts w:ascii="Times New Roman"/>
                <w:szCs w:val="18"/>
              </w:rPr>
              <w:t>estruction removal efficiency</w:t>
            </w:r>
            <w:r w:rsidRPr="00D74CC0">
              <w:rPr>
                <w:rFonts w:ascii="Times New Roman"/>
                <w:szCs w:val="18"/>
              </w:rPr>
              <w:t xml:space="preserve">, </w:t>
            </w:r>
            <w:r w:rsidR="00DB194A" w:rsidRPr="00D74CC0">
              <w:rPr>
                <w:rFonts w:ascii="Times New Roman"/>
                <w:szCs w:val="18"/>
              </w:rPr>
              <w:t>%</w:t>
            </w:r>
          </w:p>
        </w:tc>
        <w:tc>
          <w:tcPr>
            <w:tcW w:w="815" w:type="dxa"/>
            <w:tcBorders>
              <w:top w:val="single" w:sz="8" w:space="0" w:color="auto"/>
              <w:bottom w:val="single" w:sz="8" w:space="0" w:color="auto"/>
            </w:tcBorders>
            <w:vAlign w:val="center"/>
          </w:tcPr>
          <w:p w14:paraId="238EFE7C" w14:textId="5D1257FA" w:rsidR="00DB194A" w:rsidRPr="00D74CC0" w:rsidRDefault="000C284C" w:rsidP="0009589C">
            <w:pPr>
              <w:pStyle w:val="af4"/>
              <w:rPr>
                <w:rFonts w:ascii="Times New Roman"/>
              </w:rPr>
            </w:pPr>
            <w:r w:rsidRPr="00D74CC0">
              <w:rPr>
                <w:rFonts w:ascii="Times New Roman"/>
                <w:szCs w:val="18"/>
              </w:rPr>
              <w:t>L</w:t>
            </w:r>
            <w:r w:rsidRPr="00D74CC0">
              <w:rPr>
                <w:rFonts w:ascii="Times New Roman"/>
                <w:szCs w:val="18"/>
              </w:rPr>
              <w:t>oss</w:t>
            </w:r>
            <w:r w:rsidRPr="00D74CC0">
              <w:rPr>
                <w:rFonts w:ascii="Times New Roman"/>
                <w:szCs w:val="18"/>
              </w:rPr>
              <w:t xml:space="preserve"> </w:t>
            </w:r>
            <w:r w:rsidRPr="00D74CC0">
              <w:rPr>
                <w:rFonts w:ascii="Times New Roman"/>
                <w:szCs w:val="18"/>
              </w:rPr>
              <w:t>of</w:t>
            </w:r>
            <w:r w:rsidRPr="00D74CC0">
              <w:rPr>
                <w:rFonts w:ascii="Times New Roman"/>
                <w:szCs w:val="18"/>
              </w:rPr>
              <w:t xml:space="preserve"> </w:t>
            </w:r>
            <w:r w:rsidRPr="00D74CC0">
              <w:rPr>
                <w:rFonts w:ascii="Times New Roman"/>
                <w:szCs w:val="18"/>
              </w:rPr>
              <w:t>ignition</w:t>
            </w:r>
            <w:r w:rsidRPr="00D74CC0">
              <w:rPr>
                <w:rFonts w:ascii="Times New Roman"/>
                <w:szCs w:val="18"/>
              </w:rPr>
              <w:t xml:space="preserve">, </w:t>
            </w:r>
            <w:r w:rsidR="00DB194A" w:rsidRPr="00D74CC0">
              <w:rPr>
                <w:rFonts w:ascii="Times New Roman"/>
                <w:kern w:val="2"/>
                <w:szCs w:val="18"/>
              </w:rPr>
              <w:t>%</w:t>
            </w:r>
          </w:p>
        </w:tc>
      </w:tr>
      <w:tr w:rsidR="00BB0D89" w14:paraId="34A76346" w14:textId="77777777" w:rsidTr="00843AA1">
        <w:trPr>
          <w:trHeight w:val="371"/>
          <w:jc w:val="center"/>
        </w:trPr>
        <w:tc>
          <w:tcPr>
            <w:tcW w:w="709" w:type="dxa"/>
            <w:vMerge w:val="restart"/>
            <w:tcBorders>
              <w:top w:val="single" w:sz="8" w:space="0" w:color="auto"/>
            </w:tcBorders>
            <w:vAlign w:val="center"/>
          </w:tcPr>
          <w:p w14:paraId="1BAB5D51" w14:textId="1E6CD2A9" w:rsidR="00DB194A" w:rsidRPr="00D74CC0" w:rsidRDefault="00873D3A" w:rsidP="0009589C">
            <w:pPr>
              <w:pStyle w:val="af4"/>
              <w:rPr>
                <w:rFonts w:ascii="Times New Roman"/>
              </w:rPr>
            </w:pPr>
            <w:r w:rsidRPr="00D74CC0">
              <w:rPr>
                <w:rFonts w:ascii="Times New Roman"/>
              </w:rPr>
              <w:t>Limit Value</w:t>
            </w:r>
          </w:p>
        </w:tc>
        <w:tc>
          <w:tcPr>
            <w:tcW w:w="1134" w:type="dxa"/>
            <w:vMerge w:val="restart"/>
            <w:tcBorders>
              <w:top w:val="single" w:sz="8" w:space="0" w:color="auto"/>
            </w:tcBorders>
            <w:vAlign w:val="center"/>
          </w:tcPr>
          <w:p w14:paraId="1827A7D9" w14:textId="77777777" w:rsidR="00DB194A" w:rsidRPr="00D74CC0" w:rsidRDefault="00DB194A" w:rsidP="0009589C">
            <w:pPr>
              <w:pStyle w:val="af4"/>
              <w:rPr>
                <w:rFonts w:ascii="Times New Roman"/>
              </w:rPr>
            </w:pPr>
            <w:r w:rsidRPr="00D74CC0">
              <w:rPr>
                <w:rFonts w:ascii="Times New Roman"/>
                <w:szCs w:val="18"/>
              </w:rPr>
              <w:t>≥1100</w:t>
            </w:r>
            <w:r w:rsidRPr="00D74CC0">
              <w:rPr>
                <w:rFonts w:ascii="Times New Roman"/>
                <w:vertAlign w:val="superscript"/>
              </w:rPr>
              <w:t xml:space="preserve"> </w:t>
            </w:r>
          </w:p>
        </w:tc>
        <w:tc>
          <w:tcPr>
            <w:tcW w:w="851" w:type="dxa"/>
            <w:vMerge w:val="restart"/>
            <w:tcBorders>
              <w:top w:val="single" w:sz="8" w:space="0" w:color="auto"/>
            </w:tcBorders>
            <w:vAlign w:val="center"/>
          </w:tcPr>
          <w:p w14:paraId="445EE4E2" w14:textId="77777777" w:rsidR="00DB194A" w:rsidRPr="00D74CC0" w:rsidRDefault="00DB194A" w:rsidP="0009589C">
            <w:pPr>
              <w:pStyle w:val="af4"/>
              <w:rPr>
                <w:rFonts w:ascii="Times New Roman"/>
              </w:rPr>
            </w:pPr>
            <w:r w:rsidRPr="00D74CC0">
              <w:rPr>
                <w:rFonts w:ascii="Times New Roman"/>
                <w:szCs w:val="18"/>
              </w:rPr>
              <w:t>≥2.0</w:t>
            </w:r>
          </w:p>
        </w:tc>
        <w:tc>
          <w:tcPr>
            <w:tcW w:w="1657" w:type="dxa"/>
            <w:vMerge w:val="restart"/>
            <w:tcBorders>
              <w:top w:val="single" w:sz="8" w:space="0" w:color="auto"/>
            </w:tcBorders>
            <w:vAlign w:val="center"/>
          </w:tcPr>
          <w:p w14:paraId="077F7CA9" w14:textId="77777777" w:rsidR="00DB194A" w:rsidRPr="00D74CC0" w:rsidRDefault="00DB194A" w:rsidP="0009589C">
            <w:pPr>
              <w:pStyle w:val="af4"/>
              <w:rPr>
                <w:rFonts w:ascii="Times New Roman"/>
              </w:rPr>
            </w:pPr>
            <w:r w:rsidRPr="00D74CC0">
              <w:rPr>
                <w:rFonts w:ascii="Times New Roman"/>
                <w:szCs w:val="18"/>
              </w:rPr>
              <w:t>6~15</w:t>
            </w:r>
          </w:p>
        </w:tc>
        <w:tc>
          <w:tcPr>
            <w:tcW w:w="789" w:type="dxa"/>
            <w:tcBorders>
              <w:top w:val="single" w:sz="8" w:space="0" w:color="auto"/>
              <w:bottom w:val="single" w:sz="8" w:space="0" w:color="auto"/>
            </w:tcBorders>
          </w:tcPr>
          <w:p w14:paraId="40DE089B" w14:textId="31FE3DD2" w:rsidR="00DB194A" w:rsidRPr="00D74CC0" w:rsidRDefault="00873D3A" w:rsidP="0009589C">
            <w:pPr>
              <w:pStyle w:val="af4"/>
              <w:rPr>
                <w:rFonts w:ascii="Times New Roman"/>
                <w:szCs w:val="18"/>
              </w:rPr>
            </w:pPr>
            <w:r w:rsidRPr="00D74CC0">
              <w:rPr>
                <w:rFonts w:ascii="Times New Roman"/>
                <w:szCs w:val="18"/>
              </w:rPr>
              <w:t>H</w:t>
            </w:r>
            <w:r w:rsidRPr="00D74CC0">
              <w:rPr>
                <w:rFonts w:ascii="Times New Roman"/>
                <w:szCs w:val="18"/>
              </w:rPr>
              <w:t>ourly</w:t>
            </w:r>
            <w:r w:rsidRPr="00D74CC0">
              <w:rPr>
                <w:rFonts w:ascii="Times New Roman"/>
                <w:szCs w:val="18"/>
              </w:rPr>
              <w:t xml:space="preserve"> </w:t>
            </w:r>
            <w:r w:rsidRPr="00D74CC0">
              <w:rPr>
                <w:rFonts w:ascii="Times New Roman"/>
                <w:szCs w:val="18"/>
              </w:rPr>
              <w:t>average value</w:t>
            </w:r>
          </w:p>
        </w:tc>
        <w:tc>
          <w:tcPr>
            <w:tcW w:w="834" w:type="dxa"/>
            <w:tcBorders>
              <w:top w:val="single" w:sz="8" w:space="0" w:color="auto"/>
              <w:bottom w:val="single" w:sz="8" w:space="0" w:color="auto"/>
            </w:tcBorders>
          </w:tcPr>
          <w:p w14:paraId="20FCF867" w14:textId="33B06CA5" w:rsidR="00DB194A" w:rsidRPr="00D74CC0" w:rsidRDefault="00873D3A" w:rsidP="0009589C">
            <w:pPr>
              <w:pStyle w:val="af4"/>
              <w:rPr>
                <w:rFonts w:ascii="Times New Roman"/>
                <w:szCs w:val="18"/>
              </w:rPr>
            </w:pPr>
            <w:r w:rsidRPr="00D74CC0">
              <w:rPr>
                <w:rFonts w:ascii="Times New Roman"/>
                <w:szCs w:val="18"/>
              </w:rPr>
              <w:t>D</w:t>
            </w:r>
            <w:r w:rsidRPr="00D74CC0">
              <w:rPr>
                <w:rFonts w:ascii="Times New Roman"/>
                <w:szCs w:val="18"/>
              </w:rPr>
              <w:t>aily average</w:t>
            </w:r>
            <w:r w:rsidRPr="00D74CC0">
              <w:rPr>
                <w:rFonts w:ascii="Times New Roman"/>
                <w:szCs w:val="18"/>
              </w:rPr>
              <w:t xml:space="preserve"> </w:t>
            </w:r>
            <w:r w:rsidRPr="00D74CC0">
              <w:rPr>
                <w:rFonts w:ascii="Times New Roman"/>
                <w:szCs w:val="18"/>
              </w:rPr>
              <w:t>value</w:t>
            </w:r>
          </w:p>
        </w:tc>
        <w:tc>
          <w:tcPr>
            <w:tcW w:w="970" w:type="dxa"/>
            <w:vMerge w:val="restart"/>
            <w:tcBorders>
              <w:top w:val="single" w:sz="8" w:space="0" w:color="auto"/>
            </w:tcBorders>
            <w:vAlign w:val="center"/>
          </w:tcPr>
          <w:p w14:paraId="23D255F2" w14:textId="77777777" w:rsidR="00DB194A" w:rsidRPr="00D74CC0" w:rsidRDefault="00DB194A" w:rsidP="0009589C">
            <w:pPr>
              <w:pStyle w:val="af4"/>
              <w:rPr>
                <w:rFonts w:ascii="Times New Roman"/>
              </w:rPr>
            </w:pPr>
            <w:r w:rsidRPr="00D74CC0">
              <w:rPr>
                <w:rFonts w:ascii="Times New Roman"/>
                <w:szCs w:val="18"/>
              </w:rPr>
              <w:t>≥99.9</w:t>
            </w:r>
          </w:p>
        </w:tc>
        <w:tc>
          <w:tcPr>
            <w:tcW w:w="970" w:type="dxa"/>
            <w:vMerge w:val="restart"/>
            <w:tcBorders>
              <w:top w:val="single" w:sz="8" w:space="0" w:color="auto"/>
            </w:tcBorders>
            <w:vAlign w:val="center"/>
          </w:tcPr>
          <w:p w14:paraId="5737E62D" w14:textId="77777777" w:rsidR="00DB194A" w:rsidRPr="00D74CC0" w:rsidRDefault="00DB194A" w:rsidP="0009589C">
            <w:pPr>
              <w:pStyle w:val="af4"/>
              <w:rPr>
                <w:rFonts w:ascii="Times New Roman"/>
                <w:szCs w:val="18"/>
              </w:rPr>
            </w:pPr>
            <w:r w:rsidRPr="00D74CC0">
              <w:rPr>
                <w:rFonts w:ascii="Times New Roman"/>
                <w:szCs w:val="18"/>
              </w:rPr>
              <w:t>≥99.99</w:t>
            </w:r>
          </w:p>
        </w:tc>
        <w:tc>
          <w:tcPr>
            <w:tcW w:w="815" w:type="dxa"/>
            <w:vMerge w:val="restart"/>
            <w:tcBorders>
              <w:top w:val="single" w:sz="8" w:space="0" w:color="auto"/>
            </w:tcBorders>
            <w:vAlign w:val="center"/>
          </w:tcPr>
          <w:p w14:paraId="16862E35" w14:textId="77777777" w:rsidR="00DB194A" w:rsidRPr="00D74CC0" w:rsidRDefault="00DB194A" w:rsidP="0009589C">
            <w:pPr>
              <w:pStyle w:val="af4"/>
              <w:rPr>
                <w:rFonts w:ascii="Times New Roman"/>
              </w:rPr>
            </w:pPr>
            <w:r w:rsidRPr="00D74CC0">
              <w:rPr>
                <w:rFonts w:ascii="Times New Roman"/>
                <w:szCs w:val="18"/>
              </w:rPr>
              <w:t>＜</w:t>
            </w:r>
            <w:r w:rsidRPr="00D74CC0">
              <w:rPr>
                <w:rFonts w:ascii="Times New Roman"/>
                <w:szCs w:val="18"/>
              </w:rPr>
              <w:t>5</w:t>
            </w:r>
          </w:p>
        </w:tc>
      </w:tr>
      <w:tr w:rsidR="00BB0D89" w14:paraId="514CA53C" w14:textId="77777777" w:rsidTr="00843AA1">
        <w:trPr>
          <w:trHeight w:val="371"/>
          <w:jc w:val="center"/>
        </w:trPr>
        <w:tc>
          <w:tcPr>
            <w:tcW w:w="709" w:type="dxa"/>
            <w:vMerge/>
            <w:tcBorders>
              <w:bottom w:val="single" w:sz="8" w:space="0" w:color="auto"/>
            </w:tcBorders>
            <w:vAlign w:val="center"/>
          </w:tcPr>
          <w:p w14:paraId="14983ADE" w14:textId="77777777" w:rsidR="00DB194A" w:rsidRDefault="00DB194A" w:rsidP="0009589C">
            <w:pPr>
              <w:pStyle w:val="af4"/>
            </w:pPr>
          </w:p>
        </w:tc>
        <w:tc>
          <w:tcPr>
            <w:tcW w:w="1134" w:type="dxa"/>
            <w:vMerge/>
            <w:tcBorders>
              <w:bottom w:val="single" w:sz="8" w:space="0" w:color="auto"/>
            </w:tcBorders>
            <w:vAlign w:val="center"/>
          </w:tcPr>
          <w:p w14:paraId="2F17003C" w14:textId="77777777" w:rsidR="00DB194A" w:rsidRDefault="00DB194A" w:rsidP="0009589C">
            <w:pPr>
              <w:pStyle w:val="af4"/>
              <w:rPr>
                <w:rFonts w:ascii="Times New Roman"/>
                <w:szCs w:val="18"/>
              </w:rPr>
            </w:pPr>
          </w:p>
        </w:tc>
        <w:tc>
          <w:tcPr>
            <w:tcW w:w="851" w:type="dxa"/>
            <w:vMerge/>
            <w:tcBorders>
              <w:bottom w:val="single" w:sz="8" w:space="0" w:color="auto"/>
            </w:tcBorders>
            <w:vAlign w:val="center"/>
          </w:tcPr>
          <w:p w14:paraId="2070D05F" w14:textId="77777777" w:rsidR="00DB194A" w:rsidRDefault="00DB194A" w:rsidP="0009589C">
            <w:pPr>
              <w:pStyle w:val="af4"/>
              <w:rPr>
                <w:rFonts w:ascii="Times New Roman"/>
                <w:szCs w:val="18"/>
              </w:rPr>
            </w:pPr>
          </w:p>
        </w:tc>
        <w:tc>
          <w:tcPr>
            <w:tcW w:w="1657" w:type="dxa"/>
            <w:vMerge/>
            <w:tcBorders>
              <w:bottom w:val="single" w:sz="8" w:space="0" w:color="auto"/>
            </w:tcBorders>
            <w:vAlign w:val="center"/>
          </w:tcPr>
          <w:p w14:paraId="22F6866F" w14:textId="77777777" w:rsidR="00DB194A" w:rsidRDefault="00DB194A" w:rsidP="0009589C">
            <w:pPr>
              <w:pStyle w:val="af4"/>
              <w:rPr>
                <w:rFonts w:ascii="Times New Roman"/>
                <w:szCs w:val="18"/>
              </w:rPr>
            </w:pPr>
          </w:p>
        </w:tc>
        <w:tc>
          <w:tcPr>
            <w:tcW w:w="789" w:type="dxa"/>
            <w:tcBorders>
              <w:top w:val="single" w:sz="8" w:space="0" w:color="auto"/>
              <w:bottom w:val="single" w:sz="8" w:space="0" w:color="auto"/>
            </w:tcBorders>
          </w:tcPr>
          <w:p w14:paraId="66901375" w14:textId="77777777" w:rsidR="00DB194A" w:rsidRDefault="00DB194A" w:rsidP="0009589C">
            <w:pPr>
              <w:pStyle w:val="af4"/>
              <w:rPr>
                <w:rFonts w:ascii="Times New Roman"/>
                <w:szCs w:val="18"/>
              </w:rPr>
            </w:pPr>
            <w:r>
              <w:rPr>
                <w:rFonts w:ascii="Times New Roman" w:hint="eastAsia"/>
                <w:szCs w:val="18"/>
              </w:rPr>
              <w:t>≤</w:t>
            </w:r>
            <w:r>
              <w:rPr>
                <w:rFonts w:ascii="Times New Roman" w:hint="eastAsia"/>
                <w:szCs w:val="18"/>
              </w:rPr>
              <w:t>5</w:t>
            </w:r>
            <w:r>
              <w:rPr>
                <w:rFonts w:ascii="Times New Roman"/>
                <w:szCs w:val="18"/>
              </w:rPr>
              <w:t>0</w:t>
            </w:r>
          </w:p>
        </w:tc>
        <w:tc>
          <w:tcPr>
            <w:tcW w:w="834" w:type="dxa"/>
            <w:tcBorders>
              <w:top w:val="single" w:sz="8" w:space="0" w:color="auto"/>
              <w:bottom w:val="single" w:sz="8" w:space="0" w:color="auto"/>
            </w:tcBorders>
          </w:tcPr>
          <w:p w14:paraId="4047661E" w14:textId="77777777" w:rsidR="00DB194A" w:rsidRDefault="00DB194A" w:rsidP="0009589C">
            <w:pPr>
              <w:pStyle w:val="af4"/>
              <w:rPr>
                <w:rFonts w:ascii="Times New Roman"/>
                <w:szCs w:val="18"/>
              </w:rPr>
            </w:pPr>
            <w:r>
              <w:rPr>
                <w:rFonts w:ascii="Times New Roman" w:hint="eastAsia"/>
                <w:szCs w:val="18"/>
              </w:rPr>
              <w:t>≤</w:t>
            </w:r>
            <w:r>
              <w:rPr>
                <w:rFonts w:ascii="Times New Roman" w:hint="eastAsia"/>
                <w:szCs w:val="18"/>
              </w:rPr>
              <w:t>4</w:t>
            </w:r>
            <w:r>
              <w:rPr>
                <w:rFonts w:ascii="Times New Roman"/>
                <w:szCs w:val="18"/>
              </w:rPr>
              <w:t>0</w:t>
            </w:r>
          </w:p>
        </w:tc>
        <w:tc>
          <w:tcPr>
            <w:tcW w:w="970" w:type="dxa"/>
            <w:vMerge/>
            <w:tcBorders>
              <w:bottom w:val="single" w:sz="8" w:space="0" w:color="auto"/>
            </w:tcBorders>
            <w:vAlign w:val="center"/>
          </w:tcPr>
          <w:p w14:paraId="0E2554FC" w14:textId="77777777" w:rsidR="00DB194A" w:rsidRDefault="00DB194A" w:rsidP="0009589C">
            <w:pPr>
              <w:pStyle w:val="af4"/>
              <w:rPr>
                <w:rFonts w:ascii="Times New Roman"/>
                <w:szCs w:val="18"/>
              </w:rPr>
            </w:pPr>
          </w:p>
        </w:tc>
        <w:tc>
          <w:tcPr>
            <w:tcW w:w="970" w:type="dxa"/>
            <w:vMerge/>
            <w:tcBorders>
              <w:bottom w:val="single" w:sz="8" w:space="0" w:color="auto"/>
            </w:tcBorders>
          </w:tcPr>
          <w:p w14:paraId="4939F0FB" w14:textId="77777777" w:rsidR="00DB194A" w:rsidRDefault="00DB194A" w:rsidP="0009589C">
            <w:pPr>
              <w:pStyle w:val="af4"/>
              <w:rPr>
                <w:rFonts w:ascii="Times New Roman"/>
                <w:szCs w:val="18"/>
              </w:rPr>
            </w:pPr>
          </w:p>
        </w:tc>
        <w:tc>
          <w:tcPr>
            <w:tcW w:w="815" w:type="dxa"/>
            <w:vMerge/>
            <w:tcBorders>
              <w:bottom w:val="single" w:sz="8" w:space="0" w:color="auto"/>
            </w:tcBorders>
            <w:vAlign w:val="center"/>
          </w:tcPr>
          <w:p w14:paraId="4EDEB82E" w14:textId="77777777" w:rsidR="00DB194A" w:rsidRDefault="00DB194A" w:rsidP="0009589C">
            <w:pPr>
              <w:pStyle w:val="af4"/>
              <w:rPr>
                <w:rFonts w:ascii="Times New Roman"/>
                <w:szCs w:val="18"/>
              </w:rPr>
            </w:pPr>
          </w:p>
        </w:tc>
      </w:tr>
    </w:tbl>
    <w:bookmarkEnd w:id="1"/>
    <w:p w14:paraId="2707B726" w14:textId="08FE0D10" w:rsidR="00DE6DC7" w:rsidRDefault="00596332" w:rsidP="00B46175">
      <w:pPr>
        <w:rPr>
          <w:rFonts w:ascii="Times New Roman" w:eastAsia="仿宋_GB2312" w:hAnsi="Times New Roman" w:cs="Times New Roman"/>
          <w:sz w:val="28"/>
          <w:szCs w:val="28"/>
          <w:lang w:val="x-none"/>
        </w:rPr>
      </w:pPr>
      <w:r>
        <w:rPr>
          <w:rFonts w:ascii="Times New Roman" w:eastAsia="仿宋_GB2312" w:hAnsi="Times New Roman" w:cs="Times New Roman" w:hint="eastAsia"/>
          <w:sz w:val="28"/>
          <w:szCs w:val="28"/>
          <w:lang w:val="x-none"/>
        </w:rPr>
        <w:t>3</w:t>
      </w:r>
      <w:r>
        <w:rPr>
          <w:rFonts w:ascii="Times New Roman" w:eastAsia="仿宋_GB2312" w:hAnsi="Times New Roman" w:cs="Times New Roman" w:hint="eastAsia"/>
          <w:sz w:val="28"/>
          <w:szCs w:val="28"/>
          <w:lang w:val="x-none"/>
        </w:rPr>
        <w:t>.</w:t>
      </w:r>
      <w:r>
        <w:rPr>
          <w:rFonts w:ascii="Times New Roman" w:eastAsia="仿宋_GB2312" w:hAnsi="Times New Roman" w:cs="Times New Roman" w:hint="eastAsia"/>
          <w:sz w:val="28"/>
          <w:szCs w:val="28"/>
          <w:lang w:val="x-none"/>
        </w:rPr>
        <w:t xml:space="preserve"> </w:t>
      </w:r>
      <w:r w:rsidR="00EF2BD9" w:rsidRPr="00EF2BD9">
        <w:rPr>
          <w:rFonts w:ascii="Times New Roman" w:eastAsia="仿宋_GB2312" w:hAnsi="Times New Roman" w:cs="Times New Roman" w:hint="eastAsia"/>
          <w:sz w:val="28"/>
          <w:szCs w:val="28"/>
          <w:lang w:val="x-none"/>
        </w:rPr>
        <w:t>The emission limits for flue gas pollutants from hazardous waste incineration facilities are as follows:</w:t>
      </w:r>
    </w:p>
    <w:p w14:paraId="5A7242E9" w14:textId="1399DB65" w:rsidR="00FC2AB5" w:rsidRDefault="00FC2AB5" w:rsidP="00FC2AB5">
      <w:pPr>
        <w:pStyle w:val="af5"/>
        <w:ind w:firstLineChars="3400" w:firstLine="7140"/>
        <w:rPr>
          <w:rFonts w:ascii="Times New Roman"/>
        </w:rPr>
      </w:pPr>
      <w:r w:rsidRPr="00FC2AB5">
        <w:rPr>
          <w:rFonts w:ascii="Times New Roman" w:hint="eastAsia"/>
        </w:rPr>
        <w:t>Unit: mg/m</w:t>
      </w:r>
      <w:r w:rsidRPr="00FC2AB5">
        <w:rPr>
          <w:rFonts w:ascii="Times New Roman" w:hint="eastAsia"/>
          <w:vertAlign w:val="superscript"/>
        </w:rPr>
        <w:t>3</w:t>
      </w:r>
    </w:p>
    <w:tbl>
      <w:tblPr>
        <w:tblStyle w:val="af3"/>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47"/>
        <w:gridCol w:w="4345"/>
        <w:gridCol w:w="1419"/>
        <w:gridCol w:w="1775"/>
      </w:tblGrid>
      <w:tr w:rsidR="00FC2AB5" w14:paraId="1E5F7592" w14:textId="77777777" w:rsidTr="00BA5872">
        <w:trPr>
          <w:trHeight w:val="304"/>
          <w:tblHeader/>
          <w:jc w:val="center"/>
        </w:trPr>
        <w:tc>
          <w:tcPr>
            <w:tcW w:w="451" w:type="pct"/>
            <w:tcBorders>
              <w:top w:val="single" w:sz="8" w:space="0" w:color="auto"/>
              <w:bottom w:val="single" w:sz="8" w:space="0" w:color="auto"/>
            </w:tcBorders>
            <w:vAlign w:val="center"/>
          </w:tcPr>
          <w:p w14:paraId="6C7DC659" w14:textId="783C9F07" w:rsidR="00FC2AB5" w:rsidRDefault="00C1521C" w:rsidP="00680993">
            <w:pPr>
              <w:pStyle w:val="af4"/>
              <w:rPr>
                <w:rFonts w:ascii="Times New Roman"/>
              </w:rPr>
            </w:pPr>
            <w:r w:rsidRPr="00C1521C">
              <w:rPr>
                <w:rFonts w:ascii="Times New Roman" w:hint="eastAsia"/>
                <w:szCs w:val="18"/>
              </w:rPr>
              <w:t>Serial Number</w:t>
            </w:r>
          </w:p>
        </w:tc>
        <w:tc>
          <w:tcPr>
            <w:tcW w:w="2622" w:type="pct"/>
            <w:tcBorders>
              <w:top w:val="single" w:sz="8" w:space="0" w:color="auto"/>
              <w:bottom w:val="single" w:sz="8" w:space="0" w:color="auto"/>
            </w:tcBorders>
            <w:vAlign w:val="center"/>
          </w:tcPr>
          <w:p w14:paraId="302F3F24" w14:textId="612BCCD1" w:rsidR="00FC2AB5" w:rsidRDefault="00EE0611" w:rsidP="00680993">
            <w:pPr>
              <w:pStyle w:val="af4"/>
              <w:rPr>
                <w:rFonts w:ascii="Times New Roman"/>
              </w:rPr>
            </w:pPr>
            <w:r w:rsidRPr="00EE0611">
              <w:rPr>
                <w:rFonts w:ascii="Times New Roman" w:hint="eastAsia"/>
                <w:szCs w:val="18"/>
              </w:rPr>
              <w:t>Pollutant Items</w:t>
            </w:r>
          </w:p>
        </w:tc>
        <w:tc>
          <w:tcPr>
            <w:tcW w:w="856" w:type="pct"/>
            <w:tcBorders>
              <w:top w:val="single" w:sz="8" w:space="0" w:color="auto"/>
              <w:bottom w:val="single" w:sz="8" w:space="0" w:color="auto"/>
            </w:tcBorders>
            <w:vAlign w:val="center"/>
          </w:tcPr>
          <w:p w14:paraId="1F9616D4" w14:textId="216BFBE0" w:rsidR="00FC2AB5" w:rsidRDefault="00C1521C" w:rsidP="00680993">
            <w:pPr>
              <w:pStyle w:val="af4"/>
              <w:rPr>
                <w:rFonts w:ascii="Times New Roman"/>
              </w:rPr>
            </w:pPr>
            <w:r w:rsidRPr="00C1521C">
              <w:rPr>
                <w:rFonts w:ascii="Times New Roman" w:hint="eastAsia"/>
                <w:szCs w:val="18"/>
              </w:rPr>
              <w:t>Limit Value</w:t>
            </w:r>
            <w:r w:rsidR="00FC2AB5">
              <w:rPr>
                <w:rFonts w:hint="eastAsia"/>
                <w:vertAlign w:val="superscript"/>
              </w:rPr>
              <w:t>a</w:t>
            </w:r>
          </w:p>
        </w:tc>
        <w:tc>
          <w:tcPr>
            <w:tcW w:w="1071" w:type="pct"/>
            <w:tcBorders>
              <w:top w:val="single" w:sz="8" w:space="0" w:color="auto"/>
              <w:bottom w:val="single" w:sz="8" w:space="0" w:color="auto"/>
            </w:tcBorders>
            <w:vAlign w:val="center"/>
          </w:tcPr>
          <w:p w14:paraId="5BF6992F" w14:textId="67C8B859" w:rsidR="00FC2AB5" w:rsidRDefault="00C1521C" w:rsidP="00680993">
            <w:pPr>
              <w:pStyle w:val="af4"/>
              <w:rPr>
                <w:rFonts w:ascii="Times New Roman"/>
              </w:rPr>
            </w:pPr>
            <w:r w:rsidRPr="00C1521C">
              <w:rPr>
                <w:rFonts w:ascii="Times New Roman" w:hint="eastAsia"/>
                <w:szCs w:val="18"/>
              </w:rPr>
              <w:t>Sample Duration</w:t>
            </w:r>
          </w:p>
        </w:tc>
      </w:tr>
      <w:tr w:rsidR="00FC2AB5" w14:paraId="79288210" w14:textId="77777777" w:rsidTr="00BA5872">
        <w:trPr>
          <w:trHeight w:val="304"/>
          <w:jc w:val="center"/>
        </w:trPr>
        <w:tc>
          <w:tcPr>
            <w:tcW w:w="451" w:type="pct"/>
            <w:vMerge w:val="restart"/>
            <w:tcBorders>
              <w:top w:val="single" w:sz="8" w:space="0" w:color="auto"/>
            </w:tcBorders>
            <w:vAlign w:val="center"/>
          </w:tcPr>
          <w:p w14:paraId="4F2E1F2E" w14:textId="77777777" w:rsidR="00FC2AB5" w:rsidRDefault="00FC2AB5" w:rsidP="00680993">
            <w:pPr>
              <w:pStyle w:val="af4"/>
              <w:rPr>
                <w:rFonts w:ascii="Times New Roman"/>
              </w:rPr>
            </w:pPr>
            <w:r>
              <w:rPr>
                <w:rFonts w:ascii="Times New Roman"/>
                <w:szCs w:val="18"/>
              </w:rPr>
              <w:t>1</w:t>
            </w:r>
          </w:p>
        </w:tc>
        <w:tc>
          <w:tcPr>
            <w:tcW w:w="2622" w:type="pct"/>
            <w:vMerge w:val="restart"/>
            <w:tcBorders>
              <w:top w:val="single" w:sz="8" w:space="0" w:color="auto"/>
            </w:tcBorders>
            <w:vAlign w:val="center"/>
          </w:tcPr>
          <w:p w14:paraId="376F09F1" w14:textId="3B89C373" w:rsidR="00FC2AB5" w:rsidRDefault="00EE0611" w:rsidP="00680993">
            <w:pPr>
              <w:pStyle w:val="af4"/>
              <w:rPr>
                <w:rFonts w:ascii="Times New Roman"/>
              </w:rPr>
            </w:pPr>
            <w:r w:rsidRPr="00EE0611">
              <w:rPr>
                <w:rFonts w:ascii="Times New Roman" w:hint="eastAsia"/>
                <w:szCs w:val="18"/>
              </w:rPr>
              <w:t>Particulate matter</w:t>
            </w:r>
            <w:r w:rsidR="00FC2AB5">
              <w:rPr>
                <w:rFonts w:ascii="Times New Roman" w:hint="eastAsia"/>
                <w:szCs w:val="18"/>
                <w:vertAlign w:val="superscript"/>
              </w:rPr>
              <w:t>b</w:t>
            </w:r>
          </w:p>
        </w:tc>
        <w:tc>
          <w:tcPr>
            <w:tcW w:w="856" w:type="pct"/>
            <w:tcBorders>
              <w:top w:val="single" w:sz="8" w:space="0" w:color="auto"/>
            </w:tcBorders>
            <w:vAlign w:val="center"/>
          </w:tcPr>
          <w:p w14:paraId="39DD4169" w14:textId="77777777" w:rsidR="00FC2AB5" w:rsidRDefault="00FC2AB5" w:rsidP="00680993">
            <w:pPr>
              <w:pStyle w:val="af4"/>
              <w:rPr>
                <w:rFonts w:ascii="Times New Roman"/>
              </w:rPr>
            </w:pPr>
            <w:r>
              <w:rPr>
                <w:rFonts w:ascii="Times New Roman"/>
                <w:szCs w:val="18"/>
              </w:rPr>
              <w:t>20</w:t>
            </w:r>
          </w:p>
        </w:tc>
        <w:tc>
          <w:tcPr>
            <w:tcW w:w="1071" w:type="pct"/>
            <w:tcBorders>
              <w:top w:val="single" w:sz="8" w:space="0" w:color="auto"/>
            </w:tcBorders>
            <w:vAlign w:val="center"/>
          </w:tcPr>
          <w:p w14:paraId="78233155" w14:textId="7508F2FE" w:rsidR="00FC2AB5" w:rsidRDefault="00BA5872" w:rsidP="00680993">
            <w:pPr>
              <w:pStyle w:val="af4"/>
              <w:rPr>
                <w:rFonts w:ascii="Times New Roman"/>
              </w:rPr>
            </w:pPr>
            <w:r w:rsidRPr="00BA5872">
              <w:rPr>
                <w:rFonts w:ascii="Times New Roman" w:hint="eastAsia"/>
                <w:szCs w:val="18"/>
              </w:rPr>
              <w:t>Hourly average value</w:t>
            </w:r>
          </w:p>
        </w:tc>
      </w:tr>
      <w:tr w:rsidR="00FC2AB5" w14:paraId="3D1F8FA9" w14:textId="77777777" w:rsidTr="00BA5872">
        <w:trPr>
          <w:trHeight w:val="90"/>
          <w:jc w:val="center"/>
        </w:trPr>
        <w:tc>
          <w:tcPr>
            <w:tcW w:w="451" w:type="pct"/>
            <w:vMerge/>
            <w:vAlign w:val="center"/>
          </w:tcPr>
          <w:p w14:paraId="22128724" w14:textId="77777777" w:rsidR="00FC2AB5" w:rsidRDefault="00FC2AB5" w:rsidP="00680993">
            <w:pPr>
              <w:pStyle w:val="af4"/>
              <w:rPr>
                <w:rFonts w:ascii="Times New Roman"/>
              </w:rPr>
            </w:pPr>
          </w:p>
        </w:tc>
        <w:tc>
          <w:tcPr>
            <w:tcW w:w="2622" w:type="pct"/>
            <w:vMerge/>
            <w:vAlign w:val="center"/>
          </w:tcPr>
          <w:p w14:paraId="3BD73623" w14:textId="77777777" w:rsidR="00FC2AB5" w:rsidRDefault="00FC2AB5" w:rsidP="00680993">
            <w:pPr>
              <w:pStyle w:val="af4"/>
              <w:rPr>
                <w:rFonts w:ascii="Times New Roman"/>
              </w:rPr>
            </w:pPr>
          </w:p>
        </w:tc>
        <w:tc>
          <w:tcPr>
            <w:tcW w:w="856" w:type="pct"/>
            <w:vAlign w:val="center"/>
          </w:tcPr>
          <w:p w14:paraId="4A44B02F" w14:textId="77777777" w:rsidR="00FC2AB5" w:rsidRDefault="00FC2AB5" w:rsidP="00680993">
            <w:pPr>
              <w:pStyle w:val="af4"/>
              <w:rPr>
                <w:rFonts w:ascii="Times New Roman"/>
              </w:rPr>
            </w:pPr>
            <w:r>
              <w:rPr>
                <w:rFonts w:ascii="Times New Roman"/>
                <w:szCs w:val="18"/>
              </w:rPr>
              <w:t>15</w:t>
            </w:r>
          </w:p>
        </w:tc>
        <w:tc>
          <w:tcPr>
            <w:tcW w:w="1071" w:type="pct"/>
            <w:vAlign w:val="center"/>
          </w:tcPr>
          <w:p w14:paraId="4827E240" w14:textId="4E80885A" w:rsidR="00FC2AB5" w:rsidRDefault="00D92251" w:rsidP="00680993">
            <w:pPr>
              <w:pStyle w:val="af4"/>
              <w:rPr>
                <w:rFonts w:ascii="Times New Roman"/>
              </w:rPr>
            </w:pPr>
            <w:r w:rsidRPr="00D92251">
              <w:rPr>
                <w:rFonts w:ascii="Times New Roman" w:hint="eastAsia"/>
                <w:szCs w:val="18"/>
              </w:rPr>
              <w:t>Daily average</w:t>
            </w:r>
          </w:p>
        </w:tc>
      </w:tr>
      <w:tr w:rsidR="00FC2AB5" w14:paraId="1B416260" w14:textId="77777777" w:rsidTr="00BA5872">
        <w:trPr>
          <w:trHeight w:val="304"/>
          <w:tblHeader/>
          <w:jc w:val="center"/>
        </w:trPr>
        <w:tc>
          <w:tcPr>
            <w:tcW w:w="451" w:type="pct"/>
            <w:vMerge w:val="restart"/>
            <w:tcBorders>
              <w:top w:val="single" w:sz="8" w:space="0" w:color="auto"/>
            </w:tcBorders>
            <w:vAlign w:val="center"/>
          </w:tcPr>
          <w:p w14:paraId="7ED71B23" w14:textId="77777777" w:rsidR="00FC2AB5" w:rsidRDefault="00FC2AB5" w:rsidP="00680993">
            <w:pPr>
              <w:pStyle w:val="af4"/>
              <w:rPr>
                <w:rFonts w:ascii="Times New Roman"/>
              </w:rPr>
            </w:pPr>
            <w:r>
              <w:rPr>
                <w:rFonts w:ascii="Times New Roman"/>
                <w:szCs w:val="18"/>
              </w:rPr>
              <w:lastRenderedPageBreak/>
              <w:t>2</w:t>
            </w:r>
          </w:p>
        </w:tc>
        <w:tc>
          <w:tcPr>
            <w:tcW w:w="2622" w:type="pct"/>
            <w:vMerge w:val="restart"/>
            <w:tcBorders>
              <w:top w:val="single" w:sz="8" w:space="0" w:color="auto"/>
            </w:tcBorders>
            <w:vAlign w:val="center"/>
          </w:tcPr>
          <w:p w14:paraId="1D38F844" w14:textId="3E6932E3" w:rsidR="00FC2AB5" w:rsidRDefault="00EE0611" w:rsidP="00680993">
            <w:pPr>
              <w:pStyle w:val="af4"/>
              <w:rPr>
                <w:rFonts w:ascii="Times New Roman" w:hint="eastAsia"/>
              </w:rPr>
            </w:pPr>
            <w:r w:rsidRPr="00EE0611">
              <w:rPr>
                <w:rFonts w:ascii="Times New Roman" w:hint="eastAsia"/>
                <w:spacing w:val="-1"/>
                <w:szCs w:val="18"/>
              </w:rPr>
              <w:t>Carbon monoxide</w:t>
            </w:r>
            <w:r>
              <w:rPr>
                <w:rFonts w:ascii="Times New Roman" w:hint="eastAsia"/>
                <w:spacing w:val="-1"/>
                <w:szCs w:val="18"/>
              </w:rPr>
              <w:t xml:space="preserve"> </w:t>
            </w:r>
            <w:r>
              <w:rPr>
                <w:rFonts w:ascii="Times New Roman" w:hint="eastAsia"/>
                <w:szCs w:val="18"/>
              </w:rPr>
              <w:t>(</w:t>
            </w:r>
            <w:r>
              <w:rPr>
                <w:rFonts w:ascii="Times New Roman"/>
                <w:szCs w:val="18"/>
              </w:rPr>
              <w:t>CO</w:t>
            </w:r>
            <w:r>
              <w:rPr>
                <w:rFonts w:ascii="Times New Roman" w:hint="eastAsia"/>
                <w:szCs w:val="18"/>
              </w:rPr>
              <w:t>)</w:t>
            </w:r>
          </w:p>
        </w:tc>
        <w:tc>
          <w:tcPr>
            <w:tcW w:w="856" w:type="pct"/>
            <w:tcBorders>
              <w:top w:val="single" w:sz="8" w:space="0" w:color="auto"/>
              <w:bottom w:val="single" w:sz="8" w:space="0" w:color="auto"/>
            </w:tcBorders>
            <w:vAlign w:val="center"/>
          </w:tcPr>
          <w:p w14:paraId="2D990792" w14:textId="77777777" w:rsidR="00FC2AB5" w:rsidRDefault="00FC2AB5" w:rsidP="00680993">
            <w:pPr>
              <w:pStyle w:val="af4"/>
              <w:rPr>
                <w:rFonts w:ascii="Times New Roman"/>
              </w:rPr>
            </w:pPr>
            <w:r>
              <w:rPr>
                <w:rFonts w:ascii="Times New Roman"/>
                <w:szCs w:val="18"/>
              </w:rPr>
              <w:t>50</w:t>
            </w:r>
          </w:p>
        </w:tc>
        <w:tc>
          <w:tcPr>
            <w:tcW w:w="1071" w:type="pct"/>
            <w:tcBorders>
              <w:top w:val="single" w:sz="8" w:space="0" w:color="auto"/>
              <w:bottom w:val="single" w:sz="8" w:space="0" w:color="auto"/>
            </w:tcBorders>
            <w:vAlign w:val="center"/>
          </w:tcPr>
          <w:p w14:paraId="62C42EB9" w14:textId="1AD031E7" w:rsidR="00FC2AB5" w:rsidRDefault="00BA5872" w:rsidP="00680993">
            <w:pPr>
              <w:pStyle w:val="af4"/>
              <w:rPr>
                <w:rFonts w:ascii="Times New Roman"/>
              </w:rPr>
            </w:pPr>
            <w:r w:rsidRPr="00BA5872">
              <w:rPr>
                <w:rFonts w:ascii="Times New Roman" w:hint="eastAsia"/>
                <w:szCs w:val="18"/>
              </w:rPr>
              <w:t>Hourly average value</w:t>
            </w:r>
          </w:p>
        </w:tc>
      </w:tr>
      <w:tr w:rsidR="00FC2AB5" w14:paraId="539DBB91" w14:textId="77777777" w:rsidTr="00BA5872">
        <w:trPr>
          <w:trHeight w:val="304"/>
          <w:jc w:val="center"/>
        </w:trPr>
        <w:tc>
          <w:tcPr>
            <w:tcW w:w="451" w:type="pct"/>
            <w:vMerge/>
            <w:vAlign w:val="center"/>
          </w:tcPr>
          <w:p w14:paraId="3667B752" w14:textId="77777777" w:rsidR="00FC2AB5" w:rsidRDefault="00FC2AB5" w:rsidP="00680993">
            <w:pPr>
              <w:pStyle w:val="af4"/>
              <w:rPr>
                <w:rFonts w:ascii="Times New Roman"/>
              </w:rPr>
            </w:pPr>
          </w:p>
        </w:tc>
        <w:tc>
          <w:tcPr>
            <w:tcW w:w="2622" w:type="pct"/>
            <w:vMerge/>
            <w:vAlign w:val="center"/>
          </w:tcPr>
          <w:p w14:paraId="43F09257" w14:textId="77777777" w:rsidR="00FC2AB5" w:rsidRDefault="00FC2AB5" w:rsidP="00680993">
            <w:pPr>
              <w:pStyle w:val="af4"/>
              <w:rPr>
                <w:rFonts w:ascii="Times New Roman"/>
              </w:rPr>
            </w:pPr>
          </w:p>
        </w:tc>
        <w:tc>
          <w:tcPr>
            <w:tcW w:w="856" w:type="pct"/>
            <w:tcBorders>
              <w:top w:val="single" w:sz="8" w:space="0" w:color="auto"/>
            </w:tcBorders>
            <w:vAlign w:val="center"/>
          </w:tcPr>
          <w:p w14:paraId="7F2AED5E" w14:textId="77777777" w:rsidR="00FC2AB5" w:rsidRDefault="00FC2AB5" w:rsidP="00680993">
            <w:pPr>
              <w:pStyle w:val="af4"/>
              <w:rPr>
                <w:rFonts w:ascii="Times New Roman"/>
              </w:rPr>
            </w:pPr>
            <w:r>
              <w:rPr>
                <w:rFonts w:ascii="Times New Roman"/>
                <w:szCs w:val="18"/>
              </w:rPr>
              <w:t>40</w:t>
            </w:r>
          </w:p>
        </w:tc>
        <w:tc>
          <w:tcPr>
            <w:tcW w:w="1071" w:type="pct"/>
            <w:tcBorders>
              <w:top w:val="single" w:sz="8" w:space="0" w:color="auto"/>
            </w:tcBorders>
            <w:vAlign w:val="center"/>
          </w:tcPr>
          <w:p w14:paraId="2CE12037" w14:textId="23BC15DC" w:rsidR="00FC2AB5" w:rsidRDefault="00D92251" w:rsidP="00680993">
            <w:pPr>
              <w:pStyle w:val="af4"/>
              <w:rPr>
                <w:rFonts w:ascii="Times New Roman"/>
              </w:rPr>
            </w:pPr>
            <w:r w:rsidRPr="00D92251">
              <w:rPr>
                <w:rFonts w:ascii="Times New Roman" w:hint="eastAsia"/>
                <w:szCs w:val="18"/>
              </w:rPr>
              <w:t>Daily average</w:t>
            </w:r>
          </w:p>
        </w:tc>
      </w:tr>
      <w:tr w:rsidR="00FC2AB5" w14:paraId="00126BBF" w14:textId="77777777" w:rsidTr="00BA5872">
        <w:trPr>
          <w:trHeight w:val="298"/>
          <w:jc w:val="center"/>
        </w:trPr>
        <w:tc>
          <w:tcPr>
            <w:tcW w:w="451" w:type="pct"/>
            <w:vMerge w:val="restart"/>
            <w:vAlign w:val="center"/>
          </w:tcPr>
          <w:p w14:paraId="65317E7E" w14:textId="77777777" w:rsidR="00FC2AB5" w:rsidRDefault="00FC2AB5" w:rsidP="00680993">
            <w:pPr>
              <w:pStyle w:val="af4"/>
              <w:rPr>
                <w:rFonts w:ascii="Times New Roman"/>
              </w:rPr>
            </w:pPr>
            <w:r>
              <w:rPr>
                <w:rFonts w:ascii="Times New Roman"/>
                <w:szCs w:val="18"/>
              </w:rPr>
              <w:t>3</w:t>
            </w:r>
          </w:p>
        </w:tc>
        <w:tc>
          <w:tcPr>
            <w:tcW w:w="2622" w:type="pct"/>
            <w:vMerge w:val="restart"/>
            <w:vAlign w:val="center"/>
          </w:tcPr>
          <w:p w14:paraId="36CE994A" w14:textId="773D2969" w:rsidR="00FC2AB5" w:rsidRDefault="000042D8" w:rsidP="00680993">
            <w:pPr>
              <w:pStyle w:val="af4"/>
              <w:rPr>
                <w:rFonts w:ascii="Times New Roman"/>
              </w:rPr>
            </w:pPr>
            <w:r w:rsidRPr="000042D8">
              <w:rPr>
                <w:rFonts w:ascii="Times New Roman" w:hint="eastAsia"/>
                <w:spacing w:val="-1"/>
                <w:szCs w:val="18"/>
              </w:rPr>
              <w:t>Nitrogen oxides</w:t>
            </w:r>
            <w:r w:rsidR="00A5506B">
              <w:rPr>
                <w:rFonts w:ascii="Times New Roman" w:hint="eastAsia"/>
                <w:spacing w:val="-1"/>
                <w:szCs w:val="18"/>
              </w:rPr>
              <w:t xml:space="preserve"> </w:t>
            </w:r>
            <w:r w:rsidR="00A5506B">
              <w:rPr>
                <w:rFonts w:ascii="Times New Roman" w:hint="eastAsia"/>
                <w:szCs w:val="18"/>
              </w:rPr>
              <w:t>(</w:t>
            </w:r>
            <w:r w:rsidR="00FC2AB5">
              <w:rPr>
                <w:rFonts w:ascii="Times New Roman"/>
                <w:szCs w:val="18"/>
              </w:rPr>
              <w:t>NO</w:t>
            </w:r>
            <w:r w:rsidR="00FC2AB5">
              <w:rPr>
                <w:rFonts w:ascii="Times New Roman"/>
                <w:szCs w:val="18"/>
                <w:vertAlign w:val="subscript"/>
              </w:rPr>
              <w:t>X</w:t>
            </w:r>
            <w:r w:rsidR="00A5506B">
              <w:rPr>
                <w:rFonts w:ascii="Times New Roman" w:hint="eastAsia"/>
                <w:szCs w:val="18"/>
              </w:rPr>
              <w:t>)</w:t>
            </w:r>
          </w:p>
        </w:tc>
        <w:tc>
          <w:tcPr>
            <w:tcW w:w="856" w:type="pct"/>
            <w:vAlign w:val="center"/>
          </w:tcPr>
          <w:p w14:paraId="2EDB8CD7" w14:textId="77777777" w:rsidR="00FC2AB5" w:rsidRDefault="00FC2AB5" w:rsidP="00680993">
            <w:pPr>
              <w:pStyle w:val="af4"/>
              <w:rPr>
                <w:rFonts w:ascii="Times New Roman"/>
                <w:color w:val="000000" w:themeColor="text1"/>
              </w:rPr>
            </w:pPr>
            <w:r>
              <w:rPr>
                <w:rFonts w:ascii="Times New Roman"/>
                <w:color w:val="000000" w:themeColor="text1"/>
                <w:szCs w:val="18"/>
              </w:rPr>
              <w:t>250</w:t>
            </w:r>
          </w:p>
        </w:tc>
        <w:tc>
          <w:tcPr>
            <w:tcW w:w="1071" w:type="pct"/>
            <w:vAlign w:val="center"/>
          </w:tcPr>
          <w:p w14:paraId="37B6EF98" w14:textId="540102D3" w:rsidR="00FC2AB5" w:rsidRDefault="00BA5872" w:rsidP="00680993">
            <w:pPr>
              <w:pStyle w:val="af4"/>
              <w:rPr>
                <w:rFonts w:ascii="Times New Roman"/>
              </w:rPr>
            </w:pPr>
            <w:r w:rsidRPr="00BA5872">
              <w:rPr>
                <w:rFonts w:ascii="Times New Roman" w:hint="eastAsia"/>
                <w:szCs w:val="18"/>
              </w:rPr>
              <w:t>Hourly average value</w:t>
            </w:r>
          </w:p>
        </w:tc>
      </w:tr>
      <w:tr w:rsidR="00FC2AB5" w14:paraId="2E96B061" w14:textId="77777777" w:rsidTr="00BA5872">
        <w:trPr>
          <w:trHeight w:val="298"/>
          <w:jc w:val="center"/>
        </w:trPr>
        <w:tc>
          <w:tcPr>
            <w:tcW w:w="451" w:type="pct"/>
            <w:vMerge/>
            <w:vAlign w:val="center"/>
          </w:tcPr>
          <w:p w14:paraId="5DBC237A" w14:textId="77777777" w:rsidR="00FC2AB5" w:rsidRDefault="00FC2AB5" w:rsidP="00680993">
            <w:pPr>
              <w:pStyle w:val="af4"/>
              <w:rPr>
                <w:rFonts w:ascii="Times New Roman"/>
                <w:szCs w:val="18"/>
              </w:rPr>
            </w:pPr>
          </w:p>
        </w:tc>
        <w:tc>
          <w:tcPr>
            <w:tcW w:w="2622" w:type="pct"/>
            <w:vMerge/>
            <w:vAlign w:val="center"/>
          </w:tcPr>
          <w:p w14:paraId="15A9D5CB" w14:textId="77777777" w:rsidR="00FC2AB5" w:rsidRDefault="00FC2AB5" w:rsidP="00680993">
            <w:pPr>
              <w:pStyle w:val="af4"/>
              <w:rPr>
                <w:rFonts w:ascii="Times New Roman"/>
                <w:spacing w:val="-1"/>
                <w:szCs w:val="18"/>
              </w:rPr>
            </w:pPr>
          </w:p>
        </w:tc>
        <w:tc>
          <w:tcPr>
            <w:tcW w:w="856" w:type="pct"/>
            <w:vAlign w:val="center"/>
          </w:tcPr>
          <w:p w14:paraId="2F7B7F06" w14:textId="77777777" w:rsidR="00FC2AB5" w:rsidRDefault="00FC2AB5" w:rsidP="00680993">
            <w:pPr>
              <w:pStyle w:val="af4"/>
              <w:rPr>
                <w:rFonts w:ascii="Times New Roman"/>
                <w:color w:val="000000" w:themeColor="text1"/>
                <w:szCs w:val="18"/>
              </w:rPr>
            </w:pPr>
            <w:r>
              <w:rPr>
                <w:rFonts w:ascii="Times New Roman"/>
                <w:color w:val="000000" w:themeColor="text1"/>
                <w:szCs w:val="18"/>
              </w:rPr>
              <w:t>200</w:t>
            </w:r>
          </w:p>
        </w:tc>
        <w:tc>
          <w:tcPr>
            <w:tcW w:w="1071" w:type="pct"/>
            <w:vAlign w:val="center"/>
          </w:tcPr>
          <w:p w14:paraId="2FC4DE73" w14:textId="5728D7E4" w:rsidR="00FC2AB5" w:rsidRDefault="00D92251" w:rsidP="00680993">
            <w:pPr>
              <w:pStyle w:val="af4"/>
              <w:rPr>
                <w:rFonts w:ascii="Times New Roman"/>
                <w:szCs w:val="18"/>
              </w:rPr>
            </w:pPr>
            <w:r w:rsidRPr="00D92251">
              <w:rPr>
                <w:rFonts w:ascii="Times New Roman" w:hint="eastAsia"/>
                <w:szCs w:val="18"/>
              </w:rPr>
              <w:t>Daily average</w:t>
            </w:r>
          </w:p>
        </w:tc>
      </w:tr>
      <w:tr w:rsidR="00FC2AB5" w14:paraId="68287A4F" w14:textId="77777777" w:rsidTr="00BA5872">
        <w:trPr>
          <w:trHeight w:val="298"/>
          <w:jc w:val="center"/>
        </w:trPr>
        <w:tc>
          <w:tcPr>
            <w:tcW w:w="451" w:type="pct"/>
            <w:vMerge w:val="restart"/>
            <w:vAlign w:val="center"/>
          </w:tcPr>
          <w:p w14:paraId="65F94178" w14:textId="77777777" w:rsidR="00FC2AB5" w:rsidRDefault="00FC2AB5" w:rsidP="00680993">
            <w:pPr>
              <w:pStyle w:val="af4"/>
              <w:rPr>
                <w:rFonts w:ascii="Times New Roman"/>
                <w:szCs w:val="18"/>
              </w:rPr>
            </w:pPr>
            <w:r>
              <w:rPr>
                <w:rFonts w:ascii="Times New Roman"/>
                <w:szCs w:val="18"/>
              </w:rPr>
              <w:t>4</w:t>
            </w:r>
          </w:p>
        </w:tc>
        <w:tc>
          <w:tcPr>
            <w:tcW w:w="2622" w:type="pct"/>
            <w:vMerge w:val="restart"/>
            <w:vAlign w:val="center"/>
          </w:tcPr>
          <w:p w14:paraId="26517655" w14:textId="21D84453" w:rsidR="00FC2AB5" w:rsidRDefault="000042D8" w:rsidP="00680993">
            <w:pPr>
              <w:pStyle w:val="af4"/>
              <w:rPr>
                <w:rFonts w:ascii="Times New Roman"/>
                <w:spacing w:val="-1"/>
                <w:szCs w:val="18"/>
              </w:rPr>
            </w:pPr>
            <w:r w:rsidRPr="000042D8">
              <w:rPr>
                <w:rFonts w:ascii="Times New Roman" w:hint="eastAsia"/>
                <w:spacing w:val="-1"/>
                <w:szCs w:val="18"/>
              </w:rPr>
              <w:t>Sulfur dioxide</w:t>
            </w:r>
            <w:r w:rsidR="00A5506B">
              <w:rPr>
                <w:rFonts w:ascii="Times New Roman" w:hint="eastAsia"/>
                <w:spacing w:val="-1"/>
                <w:szCs w:val="18"/>
              </w:rPr>
              <w:t xml:space="preserve"> </w:t>
            </w:r>
            <w:r w:rsidR="00A5506B">
              <w:rPr>
                <w:rFonts w:ascii="Times New Roman" w:hint="eastAsia"/>
                <w:szCs w:val="18"/>
              </w:rPr>
              <w:t>(</w:t>
            </w:r>
            <w:r w:rsidR="00FC2AB5">
              <w:rPr>
                <w:rFonts w:ascii="Times New Roman"/>
                <w:szCs w:val="18"/>
              </w:rPr>
              <w:t>SO</w:t>
            </w:r>
            <w:r w:rsidR="00FC2AB5">
              <w:rPr>
                <w:rFonts w:ascii="Times New Roman"/>
                <w:szCs w:val="18"/>
                <w:vertAlign w:val="subscript"/>
              </w:rPr>
              <w:t>2</w:t>
            </w:r>
            <w:r w:rsidR="00A5506B">
              <w:rPr>
                <w:rFonts w:ascii="Times New Roman" w:hint="eastAsia"/>
                <w:szCs w:val="18"/>
              </w:rPr>
              <w:t>)</w:t>
            </w:r>
          </w:p>
        </w:tc>
        <w:tc>
          <w:tcPr>
            <w:tcW w:w="856" w:type="pct"/>
            <w:vAlign w:val="center"/>
          </w:tcPr>
          <w:p w14:paraId="1E355746" w14:textId="77777777" w:rsidR="00FC2AB5" w:rsidRDefault="00FC2AB5" w:rsidP="00680993">
            <w:pPr>
              <w:pStyle w:val="af4"/>
              <w:rPr>
                <w:rFonts w:ascii="Times New Roman"/>
                <w:color w:val="000000" w:themeColor="text1"/>
                <w:szCs w:val="18"/>
              </w:rPr>
            </w:pPr>
            <w:r>
              <w:rPr>
                <w:rFonts w:ascii="Times New Roman"/>
                <w:color w:val="000000" w:themeColor="text1"/>
                <w:szCs w:val="18"/>
              </w:rPr>
              <w:t>100</w:t>
            </w:r>
          </w:p>
        </w:tc>
        <w:tc>
          <w:tcPr>
            <w:tcW w:w="1071" w:type="pct"/>
            <w:vAlign w:val="center"/>
          </w:tcPr>
          <w:p w14:paraId="7F61DB56" w14:textId="47DFC07A" w:rsidR="00FC2AB5" w:rsidRDefault="00BA5872" w:rsidP="00680993">
            <w:pPr>
              <w:pStyle w:val="af4"/>
              <w:rPr>
                <w:rFonts w:ascii="Times New Roman"/>
                <w:szCs w:val="18"/>
              </w:rPr>
            </w:pPr>
            <w:r w:rsidRPr="00BA5872">
              <w:rPr>
                <w:rFonts w:ascii="Times New Roman" w:hint="eastAsia"/>
                <w:szCs w:val="18"/>
              </w:rPr>
              <w:t>Hourly average value</w:t>
            </w:r>
          </w:p>
        </w:tc>
      </w:tr>
      <w:tr w:rsidR="00FC2AB5" w14:paraId="48D3E5A7" w14:textId="77777777" w:rsidTr="00BA5872">
        <w:trPr>
          <w:trHeight w:val="298"/>
          <w:jc w:val="center"/>
        </w:trPr>
        <w:tc>
          <w:tcPr>
            <w:tcW w:w="451" w:type="pct"/>
            <w:vMerge/>
            <w:vAlign w:val="center"/>
          </w:tcPr>
          <w:p w14:paraId="73E92381" w14:textId="77777777" w:rsidR="00FC2AB5" w:rsidRDefault="00FC2AB5" w:rsidP="00680993">
            <w:pPr>
              <w:pStyle w:val="af4"/>
              <w:rPr>
                <w:rFonts w:ascii="Times New Roman"/>
                <w:szCs w:val="18"/>
              </w:rPr>
            </w:pPr>
          </w:p>
        </w:tc>
        <w:tc>
          <w:tcPr>
            <w:tcW w:w="2622" w:type="pct"/>
            <w:vMerge/>
            <w:vAlign w:val="center"/>
          </w:tcPr>
          <w:p w14:paraId="520400E7" w14:textId="77777777" w:rsidR="00FC2AB5" w:rsidRDefault="00FC2AB5" w:rsidP="00680993">
            <w:pPr>
              <w:pStyle w:val="af4"/>
              <w:rPr>
                <w:rFonts w:ascii="Times New Roman"/>
                <w:spacing w:val="-1"/>
                <w:szCs w:val="18"/>
              </w:rPr>
            </w:pPr>
          </w:p>
        </w:tc>
        <w:tc>
          <w:tcPr>
            <w:tcW w:w="856" w:type="pct"/>
            <w:vAlign w:val="center"/>
          </w:tcPr>
          <w:p w14:paraId="7EA36D43" w14:textId="77777777" w:rsidR="00FC2AB5" w:rsidRDefault="00FC2AB5" w:rsidP="00680993">
            <w:pPr>
              <w:pStyle w:val="af4"/>
              <w:rPr>
                <w:rFonts w:ascii="Times New Roman"/>
                <w:color w:val="000000" w:themeColor="text1"/>
                <w:szCs w:val="18"/>
              </w:rPr>
            </w:pPr>
            <w:r>
              <w:rPr>
                <w:rFonts w:ascii="Times New Roman"/>
                <w:color w:val="000000" w:themeColor="text1"/>
                <w:szCs w:val="18"/>
              </w:rPr>
              <w:t>50</w:t>
            </w:r>
          </w:p>
        </w:tc>
        <w:tc>
          <w:tcPr>
            <w:tcW w:w="1071" w:type="pct"/>
            <w:vAlign w:val="center"/>
          </w:tcPr>
          <w:p w14:paraId="5EA3B141" w14:textId="745CA33B" w:rsidR="00FC2AB5" w:rsidRDefault="00D92251" w:rsidP="00680993">
            <w:pPr>
              <w:pStyle w:val="af4"/>
              <w:rPr>
                <w:rFonts w:ascii="Times New Roman"/>
                <w:szCs w:val="18"/>
              </w:rPr>
            </w:pPr>
            <w:r w:rsidRPr="00D92251">
              <w:rPr>
                <w:rFonts w:ascii="Times New Roman" w:hint="eastAsia"/>
                <w:szCs w:val="18"/>
              </w:rPr>
              <w:t>Daily average</w:t>
            </w:r>
          </w:p>
        </w:tc>
      </w:tr>
      <w:tr w:rsidR="00FC2AB5" w14:paraId="2687D2E6" w14:textId="77777777" w:rsidTr="00BA5872">
        <w:trPr>
          <w:trHeight w:val="298"/>
          <w:jc w:val="center"/>
        </w:trPr>
        <w:tc>
          <w:tcPr>
            <w:tcW w:w="451" w:type="pct"/>
            <w:vMerge w:val="restart"/>
            <w:vAlign w:val="center"/>
          </w:tcPr>
          <w:p w14:paraId="041E05BF" w14:textId="77777777" w:rsidR="00FC2AB5" w:rsidRDefault="00FC2AB5" w:rsidP="00680993">
            <w:pPr>
              <w:pStyle w:val="af4"/>
              <w:rPr>
                <w:rFonts w:ascii="Times New Roman"/>
                <w:szCs w:val="18"/>
              </w:rPr>
            </w:pPr>
            <w:r>
              <w:rPr>
                <w:rFonts w:ascii="Times New Roman"/>
                <w:szCs w:val="18"/>
              </w:rPr>
              <w:t>5</w:t>
            </w:r>
          </w:p>
        </w:tc>
        <w:tc>
          <w:tcPr>
            <w:tcW w:w="2622" w:type="pct"/>
            <w:vMerge w:val="restart"/>
            <w:vAlign w:val="center"/>
          </w:tcPr>
          <w:p w14:paraId="0ECF2E35" w14:textId="6819B577" w:rsidR="00FC2AB5" w:rsidRDefault="000042D8" w:rsidP="00680993">
            <w:pPr>
              <w:pStyle w:val="af4"/>
              <w:rPr>
                <w:rFonts w:ascii="Times New Roman" w:hint="eastAsia"/>
                <w:spacing w:val="-1"/>
                <w:szCs w:val="18"/>
              </w:rPr>
            </w:pPr>
            <w:r w:rsidRPr="000042D8">
              <w:rPr>
                <w:rFonts w:ascii="Times New Roman" w:hint="eastAsia"/>
                <w:spacing w:val="-1"/>
                <w:szCs w:val="18"/>
              </w:rPr>
              <w:t>Hydrogen fluoride</w:t>
            </w:r>
            <w:r w:rsidR="00A5506B">
              <w:rPr>
                <w:rFonts w:ascii="Times New Roman" w:hint="eastAsia"/>
                <w:spacing w:val="-1"/>
                <w:szCs w:val="18"/>
              </w:rPr>
              <w:t xml:space="preserve"> </w:t>
            </w:r>
            <w:r w:rsidR="00A5506B">
              <w:rPr>
                <w:rFonts w:ascii="Times New Roman" w:hint="eastAsia"/>
                <w:szCs w:val="18"/>
              </w:rPr>
              <w:t>(</w:t>
            </w:r>
            <w:r w:rsidR="00FC2AB5">
              <w:rPr>
                <w:rFonts w:ascii="Times New Roman"/>
                <w:szCs w:val="18"/>
              </w:rPr>
              <w:t>HF</w:t>
            </w:r>
            <w:r w:rsidR="00A5506B">
              <w:rPr>
                <w:rFonts w:ascii="Times New Roman" w:hint="eastAsia"/>
                <w:szCs w:val="18"/>
              </w:rPr>
              <w:t>)</w:t>
            </w:r>
          </w:p>
        </w:tc>
        <w:tc>
          <w:tcPr>
            <w:tcW w:w="856" w:type="pct"/>
            <w:vAlign w:val="center"/>
          </w:tcPr>
          <w:p w14:paraId="3D2C551C" w14:textId="77777777" w:rsidR="00FC2AB5" w:rsidRDefault="00FC2AB5" w:rsidP="00680993">
            <w:pPr>
              <w:pStyle w:val="af4"/>
              <w:rPr>
                <w:rFonts w:ascii="Times New Roman"/>
                <w:color w:val="000000" w:themeColor="text1"/>
                <w:szCs w:val="18"/>
              </w:rPr>
            </w:pPr>
            <w:r>
              <w:rPr>
                <w:rFonts w:ascii="Times New Roman"/>
                <w:szCs w:val="18"/>
              </w:rPr>
              <w:t>2.0</w:t>
            </w:r>
          </w:p>
        </w:tc>
        <w:tc>
          <w:tcPr>
            <w:tcW w:w="1071" w:type="pct"/>
            <w:vAlign w:val="center"/>
          </w:tcPr>
          <w:p w14:paraId="68C9F34D" w14:textId="736ED57A" w:rsidR="00FC2AB5" w:rsidRDefault="00BA5872" w:rsidP="00680993">
            <w:pPr>
              <w:pStyle w:val="af4"/>
              <w:rPr>
                <w:rFonts w:ascii="Times New Roman"/>
                <w:szCs w:val="18"/>
              </w:rPr>
            </w:pPr>
            <w:r w:rsidRPr="00BA5872">
              <w:rPr>
                <w:rFonts w:ascii="Times New Roman" w:hint="eastAsia"/>
                <w:szCs w:val="18"/>
              </w:rPr>
              <w:t>Hourly average value</w:t>
            </w:r>
          </w:p>
        </w:tc>
      </w:tr>
      <w:tr w:rsidR="00FC2AB5" w14:paraId="617BAA83" w14:textId="77777777" w:rsidTr="00BA5872">
        <w:trPr>
          <w:trHeight w:val="298"/>
          <w:jc w:val="center"/>
        </w:trPr>
        <w:tc>
          <w:tcPr>
            <w:tcW w:w="451" w:type="pct"/>
            <w:vMerge/>
            <w:vAlign w:val="center"/>
          </w:tcPr>
          <w:p w14:paraId="43B29A0C" w14:textId="77777777" w:rsidR="00FC2AB5" w:rsidRDefault="00FC2AB5" w:rsidP="00680993">
            <w:pPr>
              <w:pStyle w:val="af4"/>
              <w:rPr>
                <w:rFonts w:ascii="Times New Roman"/>
                <w:szCs w:val="18"/>
              </w:rPr>
            </w:pPr>
          </w:p>
        </w:tc>
        <w:tc>
          <w:tcPr>
            <w:tcW w:w="2622" w:type="pct"/>
            <w:vMerge/>
            <w:vAlign w:val="center"/>
          </w:tcPr>
          <w:p w14:paraId="35CC85B1" w14:textId="77777777" w:rsidR="00FC2AB5" w:rsidRDefault="00FC2AB5" w:rsidP="00680993">
            <w:pPr>
              <w:pStyle w:val="af4"/>
              <w:rPr>
                <w:rFonts w:ascii="Times New Roman"/>
                <w:spacing w:val="-1"/>
                <w:szCs w:val="18"/>
              </w:rPr>
            </w:pPr>
          </w:p>
        </w:tc>
        <w:tc>
          <w:tcPr>
            <w:tcW w:w="856" w:type="pct"/>
            <w:vAlign w:val="center"/>
          </w:tcPr>
          <w:p w14:paraId="0231AE26" w14:textId="77777777" w:rsidR="00FC2AB5" w:rsidRDefault="00FC2AB5" w:rsidP="00680993">
            <w:pPr>
              <w:pStyle w:val="af4"/>
              <w:rPr>
                <w:rFonts w:ascii="Times New Roman"/>
                <w:szCs w:val="18"/>
              </w:rPr>
            </w:pPr>
            <w:r>
              <w:rPr>
                <w:rFonts w:ascii="Times New Roman"/>
                <w:szCs w:val="18"/>
              </w:rPr>
              <w:t>1.0</w:t>
            </w:r>
          </w:p>
        </w:tc>
        <w:tc>
          <w:tcPr>
            <w:tcW w:w="1071" w:type="pct"/>
            <w:vAlign w:val="center"/>
          </w:tcPr>
          <w:p w14:paraId="46F288EC" w14:textId="09C186A0" w:rsidR="00FC2AB5" w:rsidRDefault="00D92251" w:rsidP="00680993">
            <w:pPr>
              <w:pStyle w:val="af4"/>
              <w:rPr>
                <w:rFonts w:ascii="Times New Roman"/>
                <w:szCs w:val="18"/>
              </w:rPr>
            </w:pPr>
            <w:r w:rsidRPr="00D92251">
              <w:rPr>
                <w:rFonts w:ascii="Times New Roman" w:hint="eastAsia"/>
                <w:szCs w:val="18"/>
              </w:rPr>
              <w:t>Daily average</w:t>
            </w:r>
          </w:p>
        </w:tc>
      </w:tr>
      <w:tr w:rsidR="00FC2AB5" w14:paraId="6C1FF296" w14:textId="77777777" w:rsidTr="00BA5872">
        <w:trPr>
          <w:trHeight w:val="298"/>
          <w:jc w:val="center"/>
        </w:trPr>
        <w:tc>
          <w:tcPr>
            <w:tcW w:w="451" w:type="pct"/>
            <w:vMerge w:val="restart"/>
            <w:vAlign w:val="center"/>
          </w:tcPr>
          <w:p w14:paraId="60496032" w14:textId="77777777" w:rsidR="00FC2AB5" w:rsidRDefault="00FC2AB5" w:rsidP="00680993">
            <w:pPr>
              <w:pStyle w:val="af4"/>
              <w:rPr>
                <w:rFonts w:ascii="Times New Roman"/>
                <w:szCs w:val="18"/>
              </w:rPr>
            </w:pPr>
            <w:r>
              <w:rPr>
                <w:rFonts w:ascii="Times New Roman"/>
                <w:szCs w:val="18"/>
              </w:rPr>
              <w:t>6</w:t>
            </w:r>
          </w:p>
        </w:tc>
        <w:tc>
          <w:tcPr>
            <w:tcW w:w="2622" w:type="pct"/>
            <w:vMerge w:val="restart"/>
            <w:vAlign w:val="center"/>
          </w:tcPr>
          <w:p w14:paraId="79FC3A9F" w14:textId="66EE9D93" w:rsidR="00FC2AB5" w:rsidRDefault="000042D8" w:rsidP="00680993">
            <w:pPr>
              <w:pStyle w:val="af4"/>
              <w:rPr>
                <w:rFonts w:ascii="Times New Roman"/>
                <w:spacing w:val="-1"/>
                <w:szCs w:val="18"/>
              </w:rPr>
            </w:pPr>
            <w:r w:rsidRPr="000042D8">
              <w:rPr>
                <w:rFonts w:ascii="Times New Roman" w:hint="eastAsia"/>
                <w:spacing w:val="-1"/>
                <w:szCs w:val="18"/>
              </w:rPr>
              <w:t>Hydrogen chloride</w:t>
            </w:r>
            <w:r w:rsidR="00A5506B">
              <w:rPr>
                <w:rFonts w:ascii="Times New Roman" w:hint="eastAsia"/>
                <w:spacing w:val="-1"/>
                <w:szCs w:val="18"/>
              </w:rPr>
              <w:t xml:space="preserve"> </w:t>
            </w:r>
            <w:r w:rsidR="00A5506B">
              <w:rPr>
                <w:rFonts w:ascii="Times New Roman" w:hint="eastAsia"/>
                <w:szCs w:val="18"/>
              </w:rPr>
              <w:t>(</w:t>
            </w:r>
            <w:r w:rsidR="00FC2AB5">
              <w:rPr>
                <w:rFonts w:ascii="Times New Roman"/>
                <w:szCs w:val="18"/>
              </w:rPr>
              <w:t>HCl</w:t>
            </w:r>
            <w:r w:rsidR="00A5506B">
              <w:rPr>
                <w:rFonts w:ascii="Times New Roman" w:hint="eastAsia"/>
                <w:szCs w:val="18"/>
              </w:rPr>
              <w:t>)</w:t>
            </w:r>
          </w:p>
        </w:tc>
        <w:tc>
          <w:tcPr>
            <w:tcW w:w="856" w:type="pct"/>
            <w:vAlign w:val="center"/>
          </w:tcPr>
          <w:p w14:paraId="5C61EB82" w14:textId="77777777" w:rsidR="00FC2AB5" w:rsidRDefault="00FC2AB5" w:rsidP="00680993">
            <w:pPr>
              <w:pStyle w:val="af4"/>
              <w:rPr>
                <w:rFonts w:ascii="Times New Roman"/>
                <w:szCs w:val="18"/>
              </w:rPr>
            </w:pPr>
            <w:r>
              <w:rPr>
                <w:rFonts w:ascii="Times New Roman"/>
                <w:szCs w:val="18"/>
              </w:rPr>
              <w:t>50</w:t>
            </w:r>
          </w:p>
        </w:tc>
        <w:tc>
          <w:tcPr>
            <w:tcW w:w="1071" w:type="pct"/>
            <w:vAlign w:val="center"/>
          </w:tcPr>
          <w:p w14:paraId="3394BCE9" w14:textId="7ADBC6C4" w:rsidR="00FC2AB5" w:rsidRDefault="00BA5872" w:rsidP="00680993">
            <w:pPr>
              <w:pStyle w:val="af4"/>
              <w:rPr>
                <w:rFonts w:ascii="Times New Roman"/>
                <w:szCs w:val="18"/>
              </w:rPr>
            </w:pPr>
            <w:r w:rsidRPr="00BA5872">
              <w:rPr>
                <w:rFonts w:ascii="Times New Roman" w:hint="eastAsia"/>
                <w:szCs w:val="18"/>
              </w:rPr>
              <w:t>Hourly average value</w:t>
            </w:r>
          </w:p>
        </w:tc>
      </w:tr>
      <w:tr w:rsidR="00FC2AB5" w14:paraId="5F585055" w14:textId="77777777" w:rsidTr="00DE6DC7">
        <w:trPr>
          <w:trHeight w:val="381"/>
          <w:jc w:val="center"/>
        </w:trPr>
        <w:tc>
          <w:tcPr>
            <w:tcW w:w="451" w:type="pct"/>
            <w:vMerge/>
            <w:vAlign w:val="center"/>
          </w:tcPr>
          <w:p w14:paraId="20AA4A52" w14:textId="77777777" w:rsidR="00FC2AB5" w:rsidRDefault="00FC2AB5" w:rsidP="00680993">
            <w:pPr>
              <w:pStyle w:val="af4"/>
              <w:rPr>
                <w:rFonts w:ascii="Times New Roman"/>
                <w:szCs w:val="18"/>
              </w:rPr>
            </w:pPr>
          </w:p>
        </w:tc>
        <w:tc>
          <w:tcPr>
            <w:tcW w:w="2622" w:type="pct"/>
            <w:vMerge/>
            <w:vAlign w:val="center"/>
          </w:tcPr>
          <w:p w14:paraId="3FF1FFEF" w14:textId="77777777" w:rsidR="00FC2AB5" w:rsidRDefault="00FC2AB5" w:rsidP="00680993">
            <w:pPr>
              <w:pStyle w:val="af4"/>
              <w:rPr>
                <w:rFonts w:ascii="Times New Roman"/>
                <w:spacing w:val="-1"/>
                <w:szCs w:val="18"/>
              </w:rPr>
            </w:pPr>
          </w:p>
        </w:tc>
        <w:tc>
          <w:tcPr>
            <w:tcW w:w="856" w:type="pct"/>
            <w:vAlign w:val="center"/>
          </w:tcPr>
          <w:p w14:paraId="41F44CFD" w14:textId="77777777" w:rsidR="00FC2AB5" w:rsidRDefault="00FC2AB5" w:rsidP="00680993">
            <w:pPr>
              <w:pStyle w:val="af4"/>
              <w:rPr>
                <w:rFonts w:ascii="Times New Roman"/>
                <w:szCs w:val="18"/>
              </w:rPr>
            </w:pPr>
            <w:r>
              <w:rPr>
                <w:rFonts w:ascii="Times New Roman"/>
                <w:szCs w:val="18"/>
              </w:rPr>
              <w:t>10</w:t>
            </w:r>
          </w:p>
        </w:tc>
        <w:tc>
          <w:tcPr>
            <w:tcW w:w="1071" w:type="pct"/>
            <w:vAlign w:val="center"/>
          </w:tcPr>
          <w:p w14:paraId="543A6598" w14:textId="6E6EF8CF" w:rsidR="00FC2AB5" w:rsidRDefault="00D92251" w:rsidP="00680993">
            <w:pPr>
              <w:pStyle w:val="af4"/>
              <w:rPr>
                <w:rFonts w:ascii="Times New Roman"/>
                <w:szCs w:val="18"/>
              </w:rPr>
            </w:pPr>
            <w:r w:rsidRPr="00D92251">
              <w:rPr>
                <w:rFonts w:ascii="Times New Roman" w:hint="eastAsia"/>
                <w:szCs w:val="18"/>
              </w:rPr>
              <w:t>Daily average</w:t>
            </w:r>
          </w:p>
        </w:tc>
      </w:tr>
      <w:tr w:rsidR="00FC2AB5" w14:paraId="1265050D" w14:textId="77777777" w:rsidTr="00BA5872">
        <w:trPr>
          <w:trHeight w:val="298"/>
          <w:jc w:val="center"/>
        </w:trPr>
        <w:tc>
          <w:tcPr>
            <w:tcW w:w="451" w:type="pct"/>
            <w:vAlign w:val="center"/>
          </w:tcPr>
          <w:p w14:paraId="5A0EBE18" w14:textId="77777777" w:rsidR="00FC2AB5" w:rsidRDefault="00FC2AB5" w:rsidP="00680993">
            <w:pPr>
              <w:pStyle w:val="af4"/>
              <w:rPr>
                <w:rFonts w:ascii="Times New Roman"/>
                <w:szCs w:val="18"/>
              </w:rPr>
            </w:pPr>
            <w:r>
              <w:rPr>
                <w:rFonts w:ascii="Times New Roman" w:hint="eastAsia"/>
                <w:szCs w:val="18"/>
              </w:rPr>
              <w:t>7</w:t>
            </w:r>
          </w:p>
        </w:tc>
        <w:tc>
          <w:tcPr>
            <w:tcW w:w="2622" w:type="pct"/>
            <w:vAlign w:val="center"/>
          </w:tcPr>
          <w:p w14:paraId="029F8A2C" w14:textId="2ED05DED" w:rsidR="00FC2AB5" w:rsidRDefault="000042D8" w:rsidP="00680993">
            <w:pPr>
              <w:pStyle w:val="af4"/>
              <w:rPr>
                <w:rFonts w:ascii="Times New Roman"/>
                <w:spacing w:val="-1"/>
                <w:szCs w:val="18"/>
              </w:rPr>
            </w:pPr>
            <w:r w:rsidRPr="000042D8">
              <w:rPr>
                <w:rFonts w:ascii="Times New Roman" w:hint="eastAsia"/>
                <w:spacing w:val="-1"/>
                <w:szCs w:val="18"/>
              </w:rPr>
              <w:t>Ammonia</w:t>
            </w:r>
            <w:r w:rsidR="00FC2AB5">
              <w:rPr>
                <w:rFonts w:ascii="Times New Roman" w:hint="eastAsia"/>
                <w:spacing w:val="-1"/>
                <w:szCs w:val="18"/>
                <w:vertAlign w:val="superscript"/>
              </w:rPr>
              <w:t>c</w:t>
            </w:r>
          </w:p>
        </w:tc>
        <w:tc>
          <w:tcPr>
            <w:tcW w:w="856" w:type="pct"/>
            <w:vAlign w:val="center"/>
          </w:tcPr>
          <w:p w14:paraId="3D84593B" w14:textId="77777777" w:rsidR="00FC2AB5" w:rsidRDefault="00FC2AB5" w:rsidP="00680993">
            <w:pPr>
              <w:pStyle w:val="af4"/>
              <w:rPr>
                <w:rFonts w:ascii="Times New Roman"/>
                <w:szCs w:val="18"/>
              </w:rPr>
            </w:pPr>
            <w:r>
              <w:rPr>
                <w:rFonts w:ascii="Times New Roman" w:hint="eastAsia"/>
                <w:szCs w:val="18"/>
              </w:rPr>
              <w:t>8</w:t>
            </w:r>
          </w:p>
        </w:tc>
        <w:tc>
          <w:tcPr>
            <w:tcW w:w="1071" w:type="pct"/>
            <w:vAlign w:val="center"/>
          </w:tcPr>
          <w:p w14:paraId="195FFC76" w14:textId="3717CC5B" w:rsidR="00FC2AB5" w:rsidRDefault="00BA5872" w:rsidP="00680993">
            <w:pPr>
              <w:pStyle w:val="af4"/>
              <w:rPr>
                <w:rFonts w:ascii="Times New Roman"/>
                <w:szCs w:val="18"/>
              </w:rPr>
            </w:pPr>
            <w:r w:rsidRPr="00BA5872">
              <w:rPr>
                <w:rFonts w:ascii="Times New Roman" w:hint="eastAsia"/>
                <w:szCs w:val="18"/>
              </w:rPr>
              <w:t>Hourly average value</w:t>
            </w:r>
          </w:p>
        </w:tc>
      </w:tr>
      <w:tr w:rsidR="00FC2AB5" w14:paraId="0CAE6D21" w14:textId="77777777" w:rsidTr="00BA5872">
        <w:trPr>
          <w:trHeight w:val="298"/>
          <w:jc w:val="center"/>
        </w:trPr>
        <w:tc>
          <w:tcPr>
            <w:tcW w:w="451" w:type="pct"/>
            <w:vAlign w:val="center"/>
          </w:tcPr>
          <w:p w14:paraId="487F7074" w14:textId="77777777" w:rsidR="00FC2AB5" w:rsidRDefault="00FC2AB5" w:rsidP="00680993">
            <w:pPr>
              <w:pStyle w:val="af4"/>
              <w:rPr>
                <w:rFonts w:ascii="Times New Roman"/>
                <w:szCs w:val="18"/>
              </w:rPr>
            </w:pPr>
            <w:r>
              <w:rPr>
                <w:rFonts w:ascii="Times New Roman" w:hint="eastAsia"/>
                <w:szCs w:val="18"/>
              </w:rPr>
              <w:t>8</w:t>
            </w:r>
          </w:p>
        </w:tc>
        <w:tc>
          <w:tcPr>
            <w:tcW w:w="2622" w:type="pct"/>
            <w:vAlign w:val="center"/>
          </w:tcPr>
          <w:p w14:paraId="5C09FCD6" w14:textId="25285EA7" w:rsidR="00FC2AB5" w:rsidRDefault="000042D8" w:rsidP="00680993">
            <w:pPr>
              <w:pStyle w:val="af4"/>
              <w:rPr>
                <w:rFonts w:ascii="Times New Roman"/>
                <w:spacing w:val="-1"/>
                <w:szCs w:val="18"/>
              </w:rPr>
            </w:pPr>
            <w:r w:rsidRPr="000042D8">
              <w:rPr>
                <w:rFonts w:ascii="Times New Roman" w:hint="eastAsia"/>
                <w:spacing w:val="-1"/>
                <w:szCs w:val="18"/>
              </w:rPr>
              <w:t>Mercury and its compounds</w:t>
            </w:r>
            <w:r>
              <w:rPr>
                <w:rFonts w:ascii="Times New Roman" w:hint="eastAsia"/>
                <w:szCs w:val="18"/>
              </w:rPr>
              <w:t xml:space="preserve"> </w:t>
            </w:r>
            <w:r w:rsidR="00F543DC" w:rsidRPr="00F543DC">
              <w:rPr>
                <w:rFonts w:ascii="Times New Roman" w:hint="eastAsia"/>
                <w:szCs w:val="18"/>
              </w:rPr>
              <w:t>(calculated as Hg)</w:t>
            </w:r>
          </w:p>
        </w:tc>
        <w:tc>
          <w:tcPr>
            <w:tcW w:w="856" w:type="pct"/>
            <w:vAlign w:val="center"/>
          </w:tcPr>
          <w:p w14:paraId="063590C3" w14:textId="77777777" w:rsidR="00FC2AB5" w:rsidRDefault="00FC2AB5" w:rsidP="00680993">
            <w:pPr>
              <w:pStyle w:val="af4"/>
              <w:rPr>
                <w:rFonts w:ascii="Times New Roman"/>
                <w:szCs w:val="18"/>
              </w:rPr>
            </w:pPr>
            <w:r>
              <w:rPr>
                <w:rFonts w:ascii="Times New Roman"/>
                <w:szCs w:val="18"/>
              </w:rPr>
              <w:t>0.05</w:t>
            </w:r>
          </w:p>
        </w:tc>
        <w:tc>
          <w:tcPr>
            <w:tcW w:w="1071" w:type="pct"/>
            <w:vAlign w:val="center"/>
          </w:tcPr>
          <w:p w14:paraId="4FFF3559" w14:textId="569513F1" w:rsidR="00FC2AB5" w:rsidRDefault="004E7B5B" w:rsidP="00680993">
            <w:pPr>
              <w:pStyle w:val="af4"/>
              <w:rPr>
                <w:rFonts w:ascii="Times New Roman"/>
                <w:szCs w:val="18"/>
              </w:rPr>
            </w:pPr>
            <w:r w:rsidRPr="004E7B5B">
              <w:rPr>
                <w:rFonts w:ascii="Times New Roman" w:hint="eastAsia"/>
                <w:szCs w:val="18"/>
              </w:rPr>
              <w:t>Determination Average</w:t>
            </w:r>
          </w:p>
        </w:tc>
      </w:tr>
      <w:tr w:rsidR="00FC2AB5" w14:paraId="084CEDCC" w14:textId="77777777" w:rsidTr="00BA5872">
        <w:trPr>
          <w:trHeight w:val="304"/>
          <w:jc w:val="center"/>
        </w:trPr>
        <w:tc>
          <w:tcPr>
            <w:tcW w:w="451" w:type="pct"/>
            <w:vAlign w:val="center"/>
          </w:tcPr>
          <w:p w14:paraId="1A9D3DA4" w14:textId="77777777" w:rsidR="00FC2AB5" w:rsidRDefault="00FC2AB5" w:rsidP="00680993">
            <w:pPr>
              <w:pStyle w:val="af4"/>
              <w:rPr>
                <w:rFonts w:ascii="Times New Roman"/>
                <w:szCs w:val="18"/>
              </w:rPr>
            </w:pPr>
            <w:r>
              <w:rPr>
                <w:rFonts w:ascii="Times New Roman" w:hint="eastAsia"/>
                <w:szCs w:val="18"/>
              </w:rPr>
              <w:t>9</w:t>
            </w:r>
          </w:p>
        </w:tc>
        <w:tc>
          <w:tcPr>
            <w:tcW w:w="2622" w:type="pct"/>
            <w:vAlign w:val="center"/>
          </w:tcPr>
          <w:p w14:paraId="1D528E54" w14:textId="64F9B2DD" w:rsidR="00FC2AB5" w:rsidRDefault="003054D9" w:rsidP="00680993">
            <w:pPr>
              <w:pStyle w:val="af4"/>
              <w:rPr>
                <w:rFonts w:ascii="Times New Roman"/>
                <w:spacing w:val="-1"/>
                <w:szCs w:val="18"/>
              </w:rPr>
            </w:pPr>
            <w:r w:rsidRPr="003054D9">
              <w:rPr>
                <w:rFonts w:ascii="Times New Roman" w:hint="eastAsia"/>
                <w:spacing w:val="-1"/>
                <w:szCs w:val="18"/>
              </w:rPr>
              <w:t>Thallium and its compounds (calculated as Tl)</w:t>
            </w:r>
          </w:p>
        </w:tc>
        <w:tc>
          <w:tcPr>
            <w:tcW w:w="856" w:type="pct"/>
            <w:vAlign w:val="center"/>
          </w:tcPr>
          <w:p w14:paraId="032AE684" w14:textId="77777777" w:rsidR="00FC2AB5" w:rsidRDefault="00FC2AB5" w:rsidP="00680993">
            <w:pPr>
              <w:pStyle w:val="af4"/>
              <w:rPr>
                <w:rFonts w:ascii="Times New Roman"/>
                <w:szCs w:val="18"/>
              </w:rPr>
            </w:pPr>
            <w:r>
              <w:rPr>
                <w:rFonts w:ascii="Times New Roman"/>
                <w:szCs w:val="18"/>
              </w:rPr>
              <w:t>0.02</w:t>
            </w:r>
          </w:p>
        </w:tc>
        <w:tc>
          <w:tcPr>
            <w:tcW w:w="1071" w:type="pct"/>
            <w:vAlign w:val="center"/>
          </w:tcPr>
          <w:p w14:paraId="1FD9F9B2" w14:textId="2D8E4EC0" w:rsidR="00FC2AB5" w:rsidRDefault="004E7B5B" w:rsidP="00680993">
            <w:pPr>
              <w:pStyle w:val="af4"/>
              <w:rPr>
                <w:rFonts w:ascii="Times New Roman"/>
                <w:szCs w:val="18"/>
              </w:rPr>
            </w:pPr>
            <w:r w:rsidRPr="004E7B5B">
              <w:rPr>
                <w:rFonts w:ascii="Times New Roman" w:hint="eastAsia"/>
                <w:szCs w:val="18"/>
              </w:rPr>
              <w:t>Determination Average</w:t>
            </w:r>
          </w:p>
        </w:tc>
      </w:tr>
      <w:tr w:rsidR="004E7B5B" w14:paraId="79C9F9D5" w14:textId="77777777" w:rsidTr="00BA5872">
        <w:trPr>
          <w:trHeight w:val="298"/>
          <w:jc w:val="center"/>
        </w:trPr>
        <w:tc>
          <w:tcPr>
            <w:tcW w:w="451" w:type="pct"/>
            <w:vAlign w:val="center"/>
          </w:tcPr>
          <w:p w14:paraId="0A4B6435" w14:textId="77777777" w:rsidR="004E7B5B" w:rsidRDefault="004E7B5B" w:rsidP="004E7B5B">
            <w:pPr>
              <w:pStyle w:val="af4"/>
              <w:rPr>
                <w:rFonts w:ascii="Times New Roman"/>
                <w:szCs w:val="18"/>
              </w:rPr>
            </w:pPr>
            <w:r>
              <w:rPr>
                <w:rFonts w:ascii="Times New Roman" w:hint="eastAsia"/>
                <w:szCs w:val="18"/>
              </w:rPr>
              <w:t>1</w:t>
            </w:r>
            <w:r>
              <w:rPr>
                <w:rFonts w:ascii="Times New Roman"/>
                <w:szCs w:val="18"/>
              </w:rPr>
              <w:t>0</w:t>
            </w:r>
          </w:p>
        </w:tc>
        <w:tc>
          <w:tcPr>
            <w:tcW w:w="2622" w:type="pct"/>
            <w:vAlign w:val="center"/>
          </w:tcPr>
          <w:p w14:paraId="09500878" w14:textId="4BAAC255" w:rsidR="004E7B5B" w:rsidRDefault="004E7B5B" w:rsidP="004E7B5B">
            <w:pPr>
              <w:pStyle w:val="af4"/>
              <w:rPr>
                <w:rFonts w:ascii="Times New Roman"/>
                <w:spacing w:val="-1"/>
                <w:szCs w:val="18"/>
              </w:rPr>
            </w:pPr>
            <w:r w:rsidRPr="003054D9">
              <w:rPr>
                <w:rFonts w:ascii="Times New Roman" w:hint="eastAsia"/>
                <w:szCs w:val="18"/>
              </w:rPr>
              <w:t>Cadmium and its compounds (calculated as Cd)</w:t>
            </w:r>
          </w:p>
        </w:tc>
        <w:tc>
          <w:tcPr>
            <w:tcW w:w="856" w:type="pct"/>
            <w:vAlign w:val="center"/>
          </w:tcPr>
          <w:p w14:paraId="5E619472" w14:textId="77777777" w:rsidR="004E7B5B" w:rsidRDefault="004E7B5B" w:rsidP="004E7B5B">
            <w:pPr>
              <w:pStyle w:val="af4"/>
              <w:rPr>
                <w:rFonts w:ascii="Times New Roman"/>
                <w:szCs w:val="18"/>
              </w:rPr>
            </w:pPr>
            <w:r>
              <w:rPr>
                <w:rFonts w:ascii="Times New Roman"/>
                <w:szCs w:val="18"/>
              </w:rPr>
              <w:t>0.03</w:t>
            </w:r>
          </w:p>
        </w:tc>
        <w:tc>
          <w:tcPr>
            <w:tcW w:w="1071" w:type="pct"/>
            <w:vAlign w:val="center"/>
          </w:tcPr>
          <w:p w14:paraId="6088C3BC" w14:textId="72E7C6D4" w:rsidR="004E7B5B" w:rsidRDefault="004E7B5B" w:rsidP="004E7B5B">
            <w:pPr>
              <w:pStyle w:val="af4"/>
              <w:rPr>
                <w:rFonts w:ascii="Times New Roman"/>
                <w:szCs w:val="18"/>
              </w:rPr>
            </w:pPr>
            <w:r w:rsidRPr="004E7B5B">
              <w:rPr>
                <w:rFonts w:ascii="Times New Roman" w:hint="eastAsia"/>
                <w:szCs w:val="18"/>
              </w:rPr>
              <w:t>Determination Average</w:t>
            </w:r>
          </w:p>
        </w:tc>
      </w:tr>
      <w:tr w:rsidR="004E7B5B" w14:paraId="60B7CBC6" w14:textId="77777777" w:rsidTr="00BA5872">
        <w:trPr>
          <w:trHeight w:val="298"/>
          <w:jc w:val="center"/>
        </w:trPr>
        <w:tc>
          <w:tcPr>
            <w:tcW w:w="451" w:type="pct"/>
            <w:vAlign w:val="center"/>
          </w:tcPr>
          <w:p w14:paraId="548247DB" w14:textId="77777777" w:rsidR="004E7B5B" w:rsidRDefault="004E7B5B" w:rsidP="004E7B5B">
            <w:pPr>
              <w:pStyle w:val="af4"/>
              <w:rPr>
                <w:rFonts w:ascii="Times New Roman"/>
                <w:szCs w:val="18"/>
              </w:rPr>
            </w:pPr>
            <w:r>
              <w:rPr>
                <w:rFonts w:ascii="Times New Roman" w:hint="eastAsia"/>
                <w:szCs w:val="18"/>
              </w:rPr>
              <w:t>1</w:t>
            </w:r>
            <w:r>
              <w:rPr>
                <w:rFonts w:ascii="Times New Roman"/>
                <w:szCs w:val="18"/>
              </w:rPr>
              <w:t>1</w:t>
            </w:r>
          </w:p>
        </w:tc>
        <w:tc>
          <w:tcPr>
            <w:tcW w:w="2622" w:type="pct"/>
            <w:vAlign w:val="center"/>
          </w:tcPr>
          <w:p w14:paraId="250B708E" w14:textId="3F3DFC9D" w:rsidR="004E7B5B" w:rsidRDefault="004E7B5B" w:rsidP="004E7B5B">
            <w:pPr>
              <w:pStyle w:val="af4"/>
              <w:rPr>
                <w:rFonts w:ascii="Times New Roman"/>
                <w:szCs w:val="18"/>
              </w:rPr>
            </w:pPr>
            <w:r w:rsidRPr="003054D9">
              <w:rPr>
                <w:rFonts w:ascii="Times New Roman" w:hint="eastAsia"/>
                <w:szCs w:val="18"/>
              </w:rPr>
              <w:t>Lead and its compounds (calculated as Pb)</w:t>
            </w:r>
          </w:p>
        </w:tc>
        <w:tc>
          <w:tcPr>
            <w:tcW w:w="856" w:type="pct"/>
            <w:vAlign w:val="center"/>
          </w:tcPr>
          <w:p w14:paraId="42E9C2D0" w14:textId="77777777" w:rsidR="004E7B5B" w:rsidRDefault="004E7B5B" w:rsidP="004E7B5B">
            <w:pPr>
              <w:pStyle w:val="af4"/>
              <w:rPr>
                <w:rFonts w:ascii="Times New Roman"/>
                <w:szCs w:val="18"/>
              </w:rPr>
            </w:pPr>
            <w:r>
              <w:rPr>
                <w:rFonts w:ascii="Times New Roman"/>
                <w:szCs w:val="18"/>
              </w:rPr>
              <w:t>0.5</w:t>
            </w:r>
          </w:p>
        </w:tc>
        <w:tc>
          <w:tcPr>
            <w:tcW w:w="1071" w:type="pct"/>
            <w:vAlign w:val="center"/>
          </w:tcPr>
          <w:p w14:paraId="1CE38D7E" w14:textId="2E1E51F9" w:rsidR="004E7B5B" w:rsidRDefault="004E7B5B" w:rsidP="004E7B5B">
            <w:pPr>
              <w:pStyle w:val="af4"/>
              <w:rPr>
                <w:rFonts w:ascii="Times New Roman"/>
                <w:szCs w:val="18"/>
              </w:rPr>
            </w:pPr>
            <w:r w:rsidRPr="004E7B5B">
              <w:rPr>
                <w:rFonts w:ascii="Times New Roman" w:hint="eastAsia"/>
                <w:szCs w:val="18"/>
              </w:rPr>
              <w:t>Determination Average</w:t>
            </w:r>
          </w:p>
        </w:tc>
      </w:tr>
      <w:tr w:rsidR="004E7B5B" w14:paraId="7D4E4657" w14:textId="77777777" w:rsidTr="00BA5872">
        <w:trPr>
          <w:trHeight w:val="298"/>
          <w:jc w:val="center"/>
        </w:trPr>
        <w:tc>
          <w:tcPr>
            <w:tcW w:w="451" w:type="pct"/>
            <w:vAlign w:val="center"/>
          </w:tcPr>
          <w:p w14:paraId="06116332" w14:textId="77777777" w:rsidR="004E7B5B" w:rsidRDefault="004E7B5B" w:rsidP="004E7B5B">
            <w:pPr>
              <w:pStyle w:val="af4"/>
              <w:rPr>
                <w:rFonts w:ascii="Times New Roman"/>
                <w:szCs w:val="18"/>
              </w:rPr>
            </w:pPr>
            <w:r>
              <w:rPr>
                <w:rFonts w:ascii="Times New Roman"/>
                <w:szCs w:val="18"/>
              </w:rPr>
              <w:t>12</w:t>
            </w:r>
          </w:p>
        </w:tc>
        <w:tc>
          <w:tcPr>
            <w:tcW w:w="2622" w:type="pct"/>
            <w:vAlign w:val="center"/>
          </w:tcPr>
          <w:p w14:paraId="641716BB" w14:textId="51F09358" w:rsidR="004E7B5B" w:rsidRDefault="004E7B5B" w:rsidP="004E7B5B">
            <w:pPr>
              <w:pStyle w:val="af4"/>
              <w:rPr>
                <w:rFonts w:ascii="Times New Roman"/>
                <w:szCs w:val="18"/>
              </w:rPr>
            </w:pPr>
            <w:r w:rsidRPr="003054D9">
              <w:rPr>
                <w:rFonts w:ascii="Times New Roman" w:hint="eastAsia"/>
                <w:spacing w:val="-1"/>
                <w:szCs w:val="18"/>
              </w:rPr>
              <w:t>Arsenic and its compounds (calculated as As)</w:t>
            </w:r>
          </w:p>
        </w:tc>
        <w:tc>
          <w:tcPr>
            <w:tcW w:w="856" w:type="pct"/>
            <w:vAlign w:val="center"/>
          </w:tcPr>
          <w:p w14:paraId="64CFEC28" w14:textId="77777777" w:rsidR="004E7B5B" w:rsidRDefault="004E7B5B" w:rsidP="004E7B5B">
            <w:pPr>
              <w:pStyle w:val="af4"/>
              <w:rPr>
                <w:rFonts w:ascii="Times New Roman"/>
                <w:szCs w:val="18"/>
              </w:rPr>
            </w:pPr>
            <w:r>
              <w:rPr>
                <w:rFonts w:ascii="Times New Roman" w:hint="eastAsia"/>
                <w:szCs w:val="18"/>
              </w:rPr>
              <w:t>0</w:t>
            </w:r>
            <w:r>
              <w:rPr>
                <w:rFonts w:ascii="Times New Roman"/>
                <w:szCs w:val="18"/>
              </w:rPr>
              <w:t>.5</w:t>
            </w:r>
          </w:p>
        </w:tc>
        <w:tc>
          <w:tcPr>
            <w:tcW w:w="1071" w:type="pct"/>
            <w:vAlign w:val="center"/>
          </w:tcPr>
          <w:p w14:paraId="17A3ADC6" w14:textId="76CCCDBA" w:rsidR="004E7B5B" w:rsidRDefault="004E7B5B" w:rsidP="004E7B5B">
            <w:pPr>
              <w:pStyle w:val="af4"/>
              <w:rPr>
                <w:rFonts w:ascii="Times New Roman"/>
                <w:szCs w:val="18"/>
              </w:rPr>
            </w:pPr>
            <w:r w:rsidRPr="004E7B5B">
              <w:rPr>
                <w:rFonts w:ascii="Times New Roman" w:hint="eastAsia"/>
                <w:szCs w:val="18"/>
              </w:rPr>
              <w:t>Determination Average</w:t>
            </w:r>
          </w:p>
        </w:tc>
      </w:tr>
      <w:tr w:rsidR="004E7B5B" w14:paraId="292F29E3" w14:textId="77777777" w:rsidTr="00BA5872">
        <w:trPr>
          <w:trHeight w:val="298"/>
          <w:jc w:val="center"/>
        </w:trPr>
        <w:tc>
          <w:tcPr>
            <w:tcW w:w="451" w:type="pct"/>
            <w:vAlign w:val="center"/>
          </w:tcPr>
          <w:p w14:paraId="3EED6766" w14:textId="77777777" w:rsidR="004E7B5B" w:rsidRDefault="004E7B5B" w:rsidP="004E7B5B">
            <w:pPr>
              <w:pStyle w:val="af4"/>
              <w:rPr>
                <w:rFonts w:ascii="Times New Roman"/>
                <w:szCs w:val="18"/>
              </w:rPr>
            </w:pPr>
            <w:r>
              <w:rPr>
                <w:rFonts w:ascii="Times New Roman"/>
                <w:szCs w:val="18"/>
              </w:rPr>
              <w:t>13</w:t>
            </w:r>
          </w:p>
        </w:tc>
        <w:tc>
          <w:tcPr>
            <w:tcW w:w="2622" w:type="pct"/>
            <w:vAlign w:val="center"/>
          </w:tcPr>
          <w:p w14:paraId="34A48E32" w14:textId="26CED64D" w:rsidR="004E7B5B" w:rsidRDefault="004E7B5B" w:rsidP="004E7B5B">
            <w:pPr>
              <w:pStyle w:val="af4"/>
              <w:rPr>
                <w:rFonts w:ascii="Times New Roman"/>
                <w:spacing w:val="-1"/>
                <w:szCs w:val="18"/>
              </w:rPr>
            </w:pPr>
            <w:r w:rsidRPr="003054D9">
              <w:rPr>
                <w:rFonts w:ascii="Times New Roman" w:hint="eastAsia"/>
                <w:szCs w:val="18"/>
              </w:rPr>
              <w:t>Chromium and its compounds (calculated as Cr)</w:t>
            </w:r>
          </w:p>
        </w:tc>
        <w:tc>
          <w:tcPr>
            <w:tcW w:w="856" w:type="pct"/>
            <w:vAlign w:val="center"/>
          </w:tcPr>
          <w:p w14:paraId="27EFDB59" w14:textId="77777777" w:rsidR="004E7B5B" w:rsidRDefault="004E7B5B" w:rsidP="004E7B5B">
            <w:pPr>
              <w:pStyle w:val="af4"/>
              <w:rPr>
                <w:rFonts w:ascii="Times New Roman"/>
                <w:szCs w:val="18"/>
                <w:highlight w:val="yellow"/>
              </w:rPr>
            </w:pPr>
            <w:r>
              <w:rPr>
                <w:rFonts w:ascii="Times New Roman" w:hint="eastAsia"/>
                <w:szCs w:val="18"/>
              </w:rPr>
              <w:t>0</w:t>
            </w:r>
            <w:r>
              <w:rPr>
                <w:rFonts w:ascii="Times New Roman"/>
                <w:szCs w:val="18"/>
              </w:rPr>
              <w:t>.4</w:t>
            </w:r>
          </w:p>
        </w:tc>
        <w:tc>
          <w:tcPr>
            <w:tcW w:w="1071" w:type="pct"/>
            <w:vAlign w:val="center"/>
          </w:tcPr>
          <w:p w14:paraId="37BEAE3D" w14:textId="760D03A4" w:rsidR="004E7B5B" w:rsidRDefault="004E7B5B" w:rsidP="004E7B5B">
            <w:pPr>
              <w:pStyle w:val="af4"/>
              <w:rPr>
                <w:rFonts w:ascii="Times New Roman"/>
                <w:szCs w:val="18"/>
              </w:rPr>
            </w:pPr>
            <w:r w:rsidRPr="004E7B5B">
              <w:rPr>
                <w:rFonts w:ascii="Times New Roman" w:hint="eastAsia"/>
                <w:szCs w:val="18"/>
              </w:rPr>
              <w:t>Determination Average</w:t>
            </w:r>
          </w:p>
        </w:tc>
      </w:tr>
      <w:tr w:rsidR="004E7B5B" w14:paraId="27BDC765" w14:textId="77777777" w:rsidTr="00BA5872">
        <w:trPr>
          <w:trHeight w:val="567"/>
          <w:jc w:val="center"/>
        </w:trPr>
        <w:tc>
          <w:tcPr>
            <w:tcW w:w="451" w:type="pct"/>
            <w:vAlign w:val="center"/>
          </w:tcPr>
          <w:p w14:paraId="1166A722" w14:textId="77777777" w:rsidR="004E7B5B" w:rsidRDefault="004E7B5B" w:rsidP="004E7B5B">
            <w:pPr>
              <w:pStyle w:val="af4"/>
              <w:rPr>
                <w:rFonts w:ascii="Times New Roman"/>
                <w:szCs w:val="18"/>
              </w:rPr>
            </w:pPr>
            <w:r>
              <w:rPr>
                <w:rFonts w:ascii="Times New Roman"/>
              </w:rPr>
              <w:t>14</w:t>
            </w:r>
          </w:p>
        </w:tc>
        <w:tc>
          <w:tcPr>
            <w:tcW w:w="2622" w:type="pct"/>
            <w:vAlign w:val="center"/>
          </w:tcPr>
          <w:p w14:paraId="237AF43B" w14:textId="6AC727A0" w:rsidR="004E7B5B" w:rsidRDefault="004E7B5B" w:rsidP="004E7B5B">
            <w:pPr>
              <w:pStyle w:val="TableParagraph"/>
              <w:jc w:val="center"/>
              <w:rPr>
                <w:rFonts w:ascii="Times New Roman" w:hint="eastAsia"/>
                <w:szCs w:val="18"/>
              </w:rPr>
            </w:pPr>
            <w:r w:rsidRPr="003054D9">
              <w:rPr>
                <w:rFonts w:ascii="Times New Roman" w:hAnsi="Times New Roman" w:cs="Times New Roman" w:hint="eastAsia"/>
                <w:sz w:val="18"/>
                <w:szCs w:val="18"/>
                <w:lang w:eastAsia="zh-CN"/>
              </w:rPr>
              <w:t>Tin, antimony, copper, manganese, nickel, cobalt and their compounds</w:t>
            </w:r>
            <w:r>
              <w:rPr>
                <w:rFonts w:ascii="Times New Roman" w:hAnsi="Times New Roman" w:cs="Times New Roman" w:hint="eastAsia"/>
                <w:sz w:val="18"/>
                <w:szCs w:val="18"/>
                <w:lang w:eastAsia="zh-CN"/>
              </w:rPr>
              <w:t xml:space="preserve"> </w:t>
            </w:r>
            <w:r w:rsidRPr="003054D9">
              <w:rPr>
                <w:rFonts w:ascii="Times New Roman" w:hAnsi="Times New Roman" w:cs="Times New Roman" w:hint="eastAsia"/>
                <w:sz w:val="18"/>
                <w:szCs w:val="18"/>
                <w:lang w:eastAsia="zh-CN"/>
              </w:rPr>
              <w:t>(calculated as Sn+Sb+Cu+Mn+Ni+Co)</w:t>
            </w:r>
          </w:p>
        </w:tc>
        <w:tc>
          <w:tcPr>
            <w:tcW w:w="856" w:type="pct"/>
            <w:vAlign w:val="center"/>
          </w:tcPr>
          <w:p w14:paraId="3EF82FE2" w14:textId="77777777" w:rsidR="004E7B5B" w:rsidRDefault="004E7B5B" w:rsidP="004E7B5B">
            <w:pPr>
              <w:pStyle w:val="af4"/>
              <w:rPr>
                <w:rFonts w:ascii="Times New Roman"/>
                <w:szCs w:val="18"/>
                <w:highlight w:val="yellow"/>
              </w:rPr>
            </w:pPr>
            <w:r>
              <w:rPr>
                <w:rFonts w:ascii="Times New Roman"/>
              </w:rPr>
              <w:t>0.6</w:t>
            </w:r>
          </w:p>
        </w:tc>
        <w:tc>
          <w:tcPr>
            <w:tcW w:w="1071" w:type="pct"/>
            <w:vAlign w:val="center"/>
          </w:tcPr>
          <w:p w14:paraId="5251D0A2" w14:textId="12C13B9D" w:rsidR="004E7B5B" w:rsidRDefault="004E7B5B" w:rsidP="004E7B5B">
            <w:pPr>
              <w:pStyle w:val="af4"/>
              <w:rPr>
                <w:rFonts w:ascii="Times New Roman"/>
                <w:szCs w:val="18"/>
              </w:rPr>
            </w:pPr>
            <w:r w:rsidRPr="004E7B5B">
              <w:rPr>
                <w:rFonts w:ascii="Times New Roman" w:hint="eastAsia"/>
                <w:szCs w:val="18"/>
              </w:rPr>
              <w:t>Determination Average</w:t>
            </w:r>
          </w:p>
        </w:tc>
      </w:tr>
      <w:tr w:rsidR="00FC2AB5" w14:paraId="3011B585" w14:textId="77777777" w:rsidTr="00BA5872">
        <w:trPr>
          <w:trHeight w:val="327"/>
          <w:jc w:val="center"/>
        </w:trPr>
        <w:tc>
          <w:tcPr>
            <w:tcW w:w="451" w:type="pct"/>
            <w:vAlign w:val="center"/>
          </w:tcPr>
          <w:p w14:paraId="369740CA" w14:textId="77777777" w:rsidR="00FC2AB5" w:rsidRDefault="00FC2AB5" w:rsidP="00680993">
            <w:pPr>
              <w:pStyle w:val="af4"/>
              <w:rPr>
                <w:rFonts w:ascii="Times New Roman"/>
              </w:rPr>
            </w:pPr>
            <w:r>
              <w:rPr>
                <w:rFonts w:ascii="Times New Roman"/>
              </w:rPr>
              <w:t>15</w:t>
            </w:r>
          </w:p>
        </w:tc>
        <w:tc>
          <w:tcPr>
            <w:tcW w:w="2622" w:type="pct"/>
            <w:vAlign w:val="center"/>
          </w:tcPr>
          <w:p w14:paraId="639D49B7" w14:textId="63C543FA" w:rsidR="00FC2AB5" w:rsidRDefault="007B2A5B" w:rsidP="00680993">
            <w:pPr>
              <w:spacing w:line="240" w:lineRule="auto"/>
              <w:jc w:val="center"/>
              <w:rPr>
                <w:sz w:val="18"/>
                <w:szCs w:val="18"/>
              </w:rPr>
            </w:pPr>
            <w:r w:rsidRPr="007B2A5B">
              <w:rPr>
                <w:rFonts w:hint="eastAsia"/>
                <w:sz w:val="18"/>
                <w:szCs w:val="18"/>
              </w:rPr>
              <w:t>Dioxins</w:t>
            </w:r>
            <w:r w:rsidR="00FC2AB5">
              <w:rPr>
                <w:sz w:val="18"/>
              </w:rPr>
              <w:t>（</w:t>
            </w:r>
            <w:r w:rsidR="00FC2AB5">
              <w:rPr>
                <w:rFonts w:eastAsia="Times New Roman"/>
                <w:sz w:val="18"/>
              </w:rPr>
              <w:t>ng</w:t>
            </w:r>
            <w:r w:rsidR="00FC2AB5">
              <w:rPr>
                <w:rFonts w:eastAsia="Times New Roman"/>
                <w:spacing w:val="-6"/>
                <w:sz w:val="18"/>
              </w:rPr>
              <w:t xml:space="preserve"> </w:t>
            </w:r>
            <w:r w:rsidR="00FC2AB5">
              <w:rPr>
                <w:rFonts w:eastAsia="Times New Roman"/>
                <w:sz w:val="18"/>
              </w:rPr>
              <w:t>TEQ/Nm</w:t>
            </w:r>
            <w:r w:rsidR="00FC2AB5">
              <w:rPr>
                <w:rFonts w:eastAsia="Times New Roman"/>
                <w:sz w:val="18"/>
                <w:vertAlign w:val="superscript"/>
              </w:rPr>
              <w:t>3</w:t>
            </w:r>
            <w:r w:rsidR="00FC2AB5">
              <w:rPr>
                <w:sz w:val="18"/>
              </w:rPr>
              <w:t>）</w:t>
            </w:r>
            <w:r w:rsidR="00FC2AB5">
              <w:rPr>
                <w:rFonts w:hint="eastAsia"/>
                <w:sz w:val="18"/>
                <w:vertAlign w:val="superscript"/>
              </w:rPr>
              <w:t>d</w:t>
            </w:r>
          </w:p>
        </w:tc>
        <w:tc>
          <w:tcPr>
            <w:tcW w:w="856" w:type="pct"/>
            <w:vAlign w:val="center"/>
          </w:tcPr>
          <w:p w14:paraId="2421E47F" w14:textId="77777777" w:rsidR="00FC2AB5" w:rsidRDefault="00FC2AB5" w:rsidP="00680993">
            <w:pPr>
              <w:pStyle w:val="af4"/>
              <w:rPr>
                <w:rFonts w:ascii="Times New Roman"/>
              </w:rPr>
            </w:pPr>
            <w:r>
              <w:rPr>
                <w:rFonts w:ascii="Times New Roman"/>
              </w:rPr>
              <w:t>0.1</w:t>
            </w:r>
          </w:p>
        </w:tc>
        <w:tc>
          <w:tcPr>
            <w:tcW w:w="1071" w:type="pct"/>
            <w:vAlign w:val="center"/>
          </w:tcPr>
          <w:p w14:paraId="4347AF02" w14:textId="4CBCA319" w:rsidR="00FC2AB5" w:rsidRDefault="004E7B5B" w:rsidP="00680993">
            <w:pPr>
              <w:pStyle w:val="af4"/>
            </w:pPr>
            <w:r w:rsidRPr="004E7B5B">
              <w:rPr>
                <w:rFonts w:ascii="Times New Roman" w:hint="eastAsia"/>
                <w:szCs w:val="18"/>
              </w:rPr>
              <w:t>Determination Average</w:t>
            </w:r>
            <w:r w:rsidR="00FC2AB5">
              <w:rPr>
                <w:rFonts w:hint="eastAsia"/>
                <w:vertAlign w:val="superscript"/>
              </w:rPr>
              <w:t>d</w:t>
            </w:r>
          </w:p>
        </w:tc>
      </w:tr>
      <w:tr w:rsidR="00FC2AB5" w14:paraId="0E071F4C" w14:textId="77777777" w:rsidTr="002C0BE2">
        <w:trPr>
          <w:trHeight w:val="2599"/>
          <w:jc w:val="center"/>
        </w:trPr>
        <w:tc>
          <w:tcPr>
            <w:tcW w:w="5000" w:type="pct"/>
            <w:gridSpan w:val="4"/>
            <w:vAlign w:val="center"/>
          </w:tcPr>
          <w:p w14:paraId="326D8855" w14:textId="3A940D1B" w:rsidR="00FC2AB5" w:rsidRPr="00D9417B" w:rsidRDefault="00FC2AB5" w:rsidP="00680993">
            <w:pPr>
              <w:pStyle w:val="af4"/>
              <w:ind w:firstLine="357"/>
              <w:jc w:val="both"/>
              <w:rPr>
                <w:rFonts w:ascii="Times New Roman"/>
              </w:rPr>
            </w:pPr>
            <w:r w:rsidRPr="00D9417B">
              <w:rPr>
                <w:rFonts w:ascii="Times New Roman"/>
                <w:szCs w:val="18"/>
                <w:vertAlign w:val="superscript"/>
              </w:rPr>
              <w:t>a</w:t>
            </w:r>
            <w:r w:rsidR="00D9417B" w:rsidRPr="00D9417B">
              <w:rPr>
                <w:rFonts w:ascii="Times New Roman"/>
                <w:szCs w:val="18"/>
              </w:rPr>
              <w:t xml:space="preserve">The pollutant limit value is the emission concentration at the </w:t>
            </w:r>
            <w:r w:rsidR="00D9417B" w:rsidRPr="00D9417B">
              <w:rPr>
                <w:rFonts w:ascii="Times New Roman" w:hint="eastAsia"/>
                <w:szCs w:val="18"/>
              </w:rPr>
              <w:t>baseline oxygen content</w:t>
            </w:r>
            <w:r w:rsidR="00D9417B" w:rsidRPr="00D9417B">
              <w:rPr>
                <w:rFonts w:ascii="Times New Roman"/>
                <w:szCs w:val="18"/>
              </w:rPr>
              <w:t>.</w:t>
            </w:r>
          </w:p>
          <w:p w14:paraId="2F13F6A1" w14:textId="659769BD" w:rsidR="00FC2AB5" w:rsidRPr="00D9417B" w:rsidRDefault="00FC2AB5" w:rsidP="00680993">
            <w:pPr>
              <w:pStyle w:val="af4"/>
              <w:ind w:firstLine="357"/>
              <w:jc w:val="both"/>
              <w:rPr>
                <w:rFonts w:ascii="Times New Roman"/>
                <w:szCs w:val="18"/>
              </w:rPr>
            </w:pPr>
            <w:r w:rsidRPr="00D9417B">
              <w:rPr>
                <w:rFonts w:ascii="Times New Roman"/>
                <w:szCs w:val="18"/>
                <w:vertAlign w:val="superscript"/>
              </w:rPr>
              <w:t>b</w:t>
            </w:r>
            <w:r w:rsidR="00D9417B" w:rsidRPr="00D9417B">
              <w:rPr>
                <w:rFonts w:ascii="Times New Roman"/>
                <w:szCs w:val="18"/>
              </w:rPr>
              <w:t>During the start-up, shutdown, and shutdown periods caused by faults or accidents, the hour</w:t>
            </w:r>
            <w:r w:rsidR="00D9417B">
              <w:rPr>
                <w:rFonts w:ascii="Times New Roman" w:hint="eastAsia"/>
                <w:szCs w:val="18"/>
              </w:rPr>
              <w:t>ly</w:t>
            </w:r>
            <w:r w:rsidR="00D9417B" w:rsidRPr="00D9417B">
              <w:rPr>
                <w:rFonts w:ascii="Times New Roman"/>
                <w:szCs w:val="18"/>
              </w:rPr>
              <w:t xml:space="preserve"> average limit value of particulate matter is 150 mg/m</w:t>
            </w:r>
            <w:r w:rsidR="00D9417B" w:rsidRPr="00D9417B">
              <w:rPr>
                <w:rFonts w:ascii="Times New Roman"/>
                <w:szCs w:val="18"/>
                <w:vertAlign w:val="superscript"/>
              </w:rPr>
              <w:t>3</w:t>
            </w:r>
            <w:r w:rsidR="00D9417B" w:rsidRPr="00D9417B">
              <w:rPr>
                <w:rFonts w:ascii="Times New Roman"/>
                <w:szCs w:val="18"/>
              </w:rPr>
              <w:t>.</w:t>
            </w:r>
          </w:p>
          <w:p w14:paraId="2BE9387C" w14:textId="235C20CE" w:rsidR="00FC2AB5" w:rsidRPr="00D9417B" w:rsidRDefault="00FC2AB5" w:rsidP="00680993">
            <w:pPr>
              <w:pStyle w:val="af4"/>
              <w:ind w:firstLine="357"/>
              <w:jc w:val="both"/>
              <w:rPr>
                <w:rFonts w:ascii="Times New Roman"/>
                <w:szCs w:val="18"/>
              </w:rPr>
            </w:pPr>
            <w:r w:rsidRPr="00D9417B">
              <w:rPr>
                <w:rFonts w:ascii="Times New Roman"/>
                <w:szCs w:val="18"/>
                <w:vertAlign w:val="superscript"/>
              </w:rPr>
              <w:t>c</w:t>
            </w:r>
            <w:r w:rsidR="00D9417B" w:rsidRPr="00D9417B">
              <w:rPr>
                <w:rFonts w:ascii="Times New Roman"/>
                <w:szCs w:val="18"/>
              </w:rPr>
              <w:t>Applicable to hazardous waste incineration facilities that adopt SNCR and SCR to control flue gas nitrogen oxides.</w:t>
            </w:r>
          </w:p>
          <w:p w14:paraId="2D28B727" w14:textId="2127ADF2" w:rsidR="00FC2AB5" w:rsidRDefault="00FC2AB5" w:rsidP="00680993">
            <w:pPr>
              <w:pStyle w:val="af4"/>
              <w:ind w:firstLine="357"/>
              <w:jc w:val="both"/>
            </w:pPr>
            <w:r w:rsidRPr="00D9417B">
              <w:rPr>
                <w:rFonts w:ascii="Times New Roman"/>
                <w:vertAlign w:val="superscript"/>
              </w:rPr>
              <w:t>d</w:t>
            </w:r>
            <w:r w:rsidR="00D9417B" w:rsidRPr="00D9417B">
              <w:rPr>
                <w:rFonts w:ascii="Times New Roman"/>
              </w:rPr>
              <w:t>The arithmetic average of three consecutive determination values.</w:t>
            </w:r>
          </w:p>
        </w:tc>
      </w:tr>
      <w:bookmarkEnd w:id="0"/>
    </w:tbl>
    <w:p w14:paraId="4B91395A" w14:textId="77777777" w:rsidR="00B46175" w:rsidRPr="00B46175" w:rsidRDefault="00B46175" w:rsidP="002C0BE2">
      <w:pPr>
        <w:rPr>
          <w:rFonts w:ascii="Times New Roman" w:eastAsia="仿宋_GB2312" w:hAnsi="Times New Roman" w:cs="Times New Roman" w:hint="eastAsia"/>
          <w:sz w:val="28"/>
          <w:szCs w:val="28"/>
        </w:rPr>
      </w:pPr>
    </w:p>
    <w:sectPr w:rsidR="00B46175" w:rsidRPr="00B461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D8164" w14:textId="77777777" w:rsidR="00CC391C" w:rsidRDefault="00CC391C" w:rsidP="003743E9">
      <w:pPr>
        <w:rPr>
          <w:rFonts w:hint="eastAsia"/>
        </w:rPr>
      </w:pPr>
      <w:r>
        <w:separator/>
      </w:r>
    </w:p>
  </w:endnote>
  <w:endnote w:type="continuationSeparator" w:id="0">
    <w:p w14:paraId="56C35CF9" w14:textId="77777777" w:rsidR="00CC391C" w:rsidRDefault="00CC391C" w:rsidP="003743E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1928D" w14:textId="77777777" w:rsidR="00CC391C" w:rsidRDefault="00CC391C" w:rsidP="003743E9">
      <w:pPr>
        <w:rPr>
          <w:rFonts w:hint="eastAsia"/>
        </w:rPr>
      </w:pPr>
      <w:r>
        <w:separator/>
      </w:r>
    </w:p>
  </w:footnote>
  <w:footnote w:type="continuationSeparator" w:id="0">
    <w:p w14:paraId="60E1D38C" w14:textId="77777777" w:rsidR="00CC391C" w:rsidRDefault="00CC391C" w:rsidP="003743E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05853"/>
    <w:multiLevelType w:val="hybridMultilevel"/>
    <w:tmpl w:val="397CB8F8"/>
    <w:lvl w:ilvl="0" w:tplc="04160402">
      <w:start w:val="1"/>
      <w:numFmt w:val="decimal"/>
      <w:lvlText w:val="%1."/>
      <w:lvlJc w:val="left"/>
      <w:pPr>
        <w:ind w:left="375" w:hanging="37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13082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F76"/>
    <w:rsid w:val="00003394"/>
    <w:rsid w:val="000042D8"/>
    <w:rsid w:val="000A06B4"/>
    <w:rsid w:val="000C284C"/>
    <w:rsid w:val="00100C95"/>
    <w:rsid w:val="0011212D"/>
    <w:rsid w:val="00121FAA"/>
    <w:rsid w:val="001805F2"/>
    <w:rsid w:val="00193A9A"/>
    <w:rsid w:val="001E3A0F"/>
    <w:rsid w:val="00247868"/>
    <w:rsid w:val="00254791"/>
    <w:rsid w:val="00273F76"/>
    <w:rsid w:val="002C0BE2"/>
    <w:rsid w:val="002E3C9C"/>
    <w:rsid w:val="003054D9"/>
    <w:rsid w:val="00310937"/>
    <w:rsid w:val="0032447F"/>
    <w:rsid w:val="003536FD"/>
    <w:rsid w:val="003743E9"/>
    <w:rsid w:val="003A0BAD"/>
    <w:rsid w:val="004A3AE5"/>
    <w:rsid w:val="004A4E53"/>
    <w:rsid w:val="004E7B5B"/>
    <w:rsid w:val="00521B6C"/>
    <w:rsid w:val="00565A54"/>
    <w:rsid w:val="0058710A"/>
    <w:rsid w:val="00593A58"/>
    <w:rsid w:val="00596332"/>
    <w:rsid w:val="005B6843"/>
    <w:rsid w:val="005C4301"/>
    <w:rsid w:val="005F43E3"/>
    <w:rsid w:val="006671BB"/>
    <w:rsid w:val="00680993"/>
    <w:rsid w:val="00680CAA"/>
    <w:rsid w:val="0069553E"/>
    <w:rsid w:val="006D03E9"/>
    <w:rsid w:val="00780FF2"/>
    <w:rsid w:val="007B2A5B"/>
    <w:rsid w:val="007E3357"/>
    <w:rsid w:val="007F3AC4"/>
    <w:rsid w:val="007F507B"/>
    <w:rsid w:val="007F7FAB"/>
    <w:rsid w:val="00843AA1"/>
    <w:rsid w:val="008545AD"/>
    <w:rsid w:val="00873D3A"/>
    <w:rsid w:val="0089576B"/>
    <w:rsid w:val="008E7173"/>
    <w:rsid w:val="009126E7"/>
    <w:rsid w:val="00961621"/>
    <w:rsid w:val="00A22AE1"/>
    <w:rsid w:val="00A5506B"/>
    <w:rsid w:val="00A958E4"/>
    <w:rsid w:val="00AC6F43"/>
    <w:rsid w:val="00AD69FC"/>
    <w:rsid w:val="00B46175"/>
    <w:rsid w:val="00BA5872"/>
    <w:rsid w:val="00BB0D89"/>
    <w:rsid w:val="00BB51BC"/>
    <w:rsid w:val="00C11D67"/>
    <w:rsid w:val="00C1521C"/>
    <w:rsid w:val="00C2075E"/>
    <w:rsid w:val="00C30E78"/>
    <w:rsid w:val="00C627DF"/>
    <w:rsid w:val="00C62D25"/>
    <w:rsid w:val="00C83E7F"/>
    <w:rsid w:val="00CA76C5"/>
    <w:rsid w:val="00CC391C"/>
    <w:rsid w:val="00D0273C"/>
    <w:rsid w:val="00D03C1D"/>
    <w:rsid w:val="00D74CC0"/>
    <w:rsid w:val="00D92251"/>
    <w:rsid w:val="00D9417B"/>
    <w:rsid w:val="00DB194A"/>
    <w:rsid w:val="00DB286C"/>
    <w:rsid w:val="00DE6DC7"/>
    <w:rsid w:val="00E3612F"/>
    <w:rsid w:val="00EE0611"/>
    <w:rsid w:val="00EF2BD9"/>
    <w:rsid w:val="00EF3C76"/>
    <w:rsid w:val="00F141AC"/>
    <w:rsid w:val="00F24631"/>
    <w:rsid w:val="00F34230"/>
    <w:rsid w:val="00F543DC"/>
    <w:rsid w:val="00F90509"/>
    <w:rsid w:val="00FC2AB5"/>
    <w:rsid w:val="00FC5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D3F33"/>
  <w15:chartTrackingRefBased/>
  <w15:docId w15:val="{BE1DD53A-9D06-49AC-89D0-407B7A20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73F7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73F7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73F7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73F7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73F7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73F7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73F7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3F7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73F7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3F7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73F7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73F7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73F76"/>
    <w:rPr>
      <w:rFonts w:cstheme="majorBidi"/>
      <w:color w:val="0F4761" w:themeColor="accent1" w:themeShade="BF"/>
      <w:sz w:val="28"/>
      <w:szCs w:val="28"/>
    </w:rPr>
  </w:style>
  <w:style w:type="character" w:customStyle="1" w:styleId="50">
    <w:name w:val="标题 5 字符"/>
    <w:basedOn w:val="a0"/>
    <w:link w:val="5"/>
    <w:uiPriority w:val="9"/>
    <w:semiHidden/>
    <w:rsid w:val="00273F76"/>
    <w:rPr>
      <w:rFonts w:cstheme="majorBidi"/>
      <w:color w:val="0F4761" w:themeColor="accent1" w:themeShade="BF"/>
      <w:sz w:val="24"/>
      <w:szCs w:val="24"/>
    </w:rPr>
  </w:style>
  <w:style w:type="character" w:customStyle="1" w:styleId="60">
    <w:name w:val="标题 6 字符"/>
    <w:basedOn w:val="a0"/>
    <w:link w:val="6"/>
    <w:uiPriority w:val="9"/>
    <w:semiHidden/>
    <w:rsid w:val="00273F76"/>
    <w:rPr>
      <w:rFonts w:cstheme="majorBidi"/>
      <w:b/>
      <w:bCs/>
      <w:color w:val="0F4761" w:themeColor="accent1" w:themeShade="BF"/>
    </w:rPr>
  </w:style>
  <w:style w:type="character" w:customStyle="1" w:styleId="70">
    <w:name w:val="标题 7 字符"/>
    <w:basedOn w:val="a0"/>
    <w:link w:val="7"/>
    <w:uiPriority w:val="9"/>
    <w:semiHidden/>
    <w:rsid w:val="00273F76"/>
    <w:rPr>
      <w:rFonts w:cstheme="majorBidi"/>
      <w:b/>
      <w:bCs/>
      <w:color w:val="595959" w:themeColor="text1" w:themeTint="A6"/>
    </w:rPr>
  </w:style>
  <w:style w:type="character" w:customStyle="1" w:styleId="80">
    <w:name w:val="标题 8 字符"/>
    <w:basedOn w:val="a0"/>
    <w:link w:val="8"/>
    <w:uiPriority w:val="9"/>
    <w:semiHidden/>
    <w:rsid w:val="00273F76"/>
    <w:rPr>
      <w:rFonts w:cstheme="majorBidi"/>
      <w:color w:val="595959" w:themeColor="text1" w:themeTint="A6"/>
    </w:rPr>
  </w:style>
  <w:style w:type="character" w:customStyle="1" w:styleId="90">
    <w:name w:val="标题 9 字符"/>
    <w:basedOn w:val="a0"/>
    <w:link w:val="9"/>
    <w:uiPriority w:val="9"/>
    <w:semiHidden/>
    <w:rsid w:val="00273F76"/>
    <w:rPr>
      <w:rFonts w:eastAsiaTheme="majorEastAsia" w:cstheme="majorBidi"/>
      <w:color w:val="595959" w:themeColor="text1" w:themeTint="A6"/>
    </w:rPr>
  </w:style>
  <w:style w:type="paragraph" w:styleId="a3">
    <w:name w:val="Title"/>
    <w:basedOn w:val="a"/>
    <w:next w:val="a"/>
    <w:link w:val="a4"/>
    <w:uiPriority w:val="10"/>
    <w:qFormat/>
    <w:rsid w:val="00273F7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3F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3F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3F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3F76"/>
    <w:pPr>
      <w:spacing w:before="160" w:after="160"/>
      <w:jc w:val="center"/>
    </w:pPr>
    <w:rPr>
      <w:i/>
      <w:iCs/>
      <w:color w:val="404040" w:themeColor="text1" w:themeTint="BF"/>
    </w:rPr>
  </w:style>
  <w:style w:type="character" w:customStyle="1" w:styleId="a8">
    <w:name w:val="引用 字符"/>
    <w:basedOn w:val="a0"/>
    <w:link w:val="a7"/>
    <w:uiPriority w:val="29"/>
    <w:rsid w:val="00273F76"/>
    <w:rPr>
      <w:i/>
      <w:iCs/>
      <w:color w:val="404040" w:themeColor="text1" w:themeTint="BF"/>
    </w:rPr>
  </w:style>
  <w:style w:type="paragraph" w:styleId="a9">
    <w:name w:val="List Paragraph"/>
    <w:basedOn w:val="a"/>
    <w:uiPriority w:val="34"/>
    <w:qFormat/>
    <w:rsid w:val="00273F76"/>
    <w:pPr>
      <w:ind w:left="720"/>
      <w:contextualSpacing/>
    </w:pPr>
  </w:style>
  <w:style w:type="character" w:styleId="aa">
    <w:name w:val="Intense Emphasis"/>
    <w:basedOn w:val="a0"/>
    <w:uiPriority w:val="21"/>
    <w:qFormat/>
    <w:rsid w:val="00273F76"/>
    <w:rPr>
      <w:i/>
      <w:iCs/>
      <w:color w:val="0F4761" w:themeColor="accent1" w:themeShade="BF"/>
    </w:rPr>
  </w:style>
  <w:style w:type="paragraph" w:styleId="ab">
    <w:name w:val="Intense Quote"/>
    <w:basedOn w:val="a"/>
    <w:next w:val="a"/>
    <w:link w:val="ac"/>
    <w:uiPriority w:val="30"/>
    <w:qFormat/>
    <w:rsid w:val="00273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73F76"/>
    <w:rPr>
      <w:i/>
      <w:iCs/>
      <w:color w:val="0F4761" w:themeColor="accent1" w:themeShade="BF"/>
    </w:rPr>
  </w:style>
  <w:style w:type="character" w:styleId="ad">
    <w:name w:val="Intense Reference"/>
    <w:basedOn w:val="a0"/>
    <w:uiPriority w:val="32"/>
    <w:qFormat/>
    <w:rsid w:val="00273F76"/>
    <w:rPr>
      <w:b/>
      <w:bCs/>
      <w:smallCaps/>
      <w:color w:val="0F4761" w:themeColor="accent1" w:themeShade="BF"/>
      <w:spacing w:val="5"/>
    </w:rPr>
  </w:style>
  <w:style w:type="paragraph" w:customStyle="1" w:styleId="ae">
    <w:name w:val="注："/>
    <w:next w:val="a"/>
    <w:rsid w:val="00B46175"/>
    <w:pPr>
      <w:widowControl w:val="0"/>
      <w:autoSpaceDE w:val="0"/>
      <w:autoSpaceDN w:val="0"/>
      <w:ind w:left="726" w:hanging="363"/>
      <w:jc w:val="both"/>
    </w:pPr>
    <w:rPr>
      <w:rFonts w:ascii="宋体" w:eastAsia="宋体" w:hAnsi="Calibri" w:cs="Times New Roman"/>
      <w:kern w:val="0"/>
      <w:sz w:val="18"/>
      <w:szCs w:val="18"/>
    </w:rPr>
  </w:style>
  <w:style w:type="paragraph" w:styleId="af">
    <w:name w:val="header"/>
    <w:basedOn w:val="a"/>
    <w:link w:val="af0"/>
    <w:uiPriority w:val="99"/>
    <w:unhideWhenUsed/>
    <w:rsid w:val="003743E9"/>
    <w:pPr>
      <w:tabs>
        <w:tab w:val="center" w:pos="4153"/>
        <w:tab w:val="right" w:pos="8306"/>
      </w:tabs>
      <w:snapToGrid w:val="0"/>
      <w:jc w:val="center"/>
    </w:pPr>
    <w:rPr>
      <w:sz w:val="18"/>
      <w:szCs w:val="18"/>
    </w:rPr>
  </w:style>
  <w:style w:type="character" w:customStyle="1" w:styleId="af0">
    <w:name w:val="页眉 字符"/>
    <w:basedOn w:val="a0"/>
    <w:link w:val="af"/>
    <w:uiPriority w:val="99"/>
    <w:rsid w:val="003743E9"/>
    <w:rPr>
      <w:sz w:val="18"/>
      <w:szCs w:val="18"/>
    </w:rPr>
  </w:style>
  <w:style w:type="paragraph" w:styleId="af1">
    <w:name w:val="footer"/>
    <w:basedOn w:val="a"/>
    <w:link w:val="af2"/>
    <w:uiPriority w:val="99"/>
    <w:unhideWhenUsed/>
    <w:rsid w:val="003743E9"/>
    <w:pPr>
      <w:tabs>
        <w:tab w:val="center" w:pos="4153"/>
        <w:tab w:val="right" w:pos="8306"/>
      </w:tabs>
      <w:snapToGrid w:val="0"/>
      <w:jc w:val="left"/>
    </w:pPr>
    <w:rPr>
      <w:sz w:val="18"/>
      <w:szCs w:val="18"/>
    </w:rPr>
  </w:style>
  <w:style w:type="character" w:customStyle="1" w:styleId="af2">
    <w:name w:val="页脚 字符"/>
    <w:basedOn w:val="a0"/>
    <w:link w:val="af1"/>
    <w:uiPriority w:val="99"/>
    <w:rsid w:val="003743E9"/>
    <w:rPr>
      <w:sz w:val="18"/>
      <w:szCs w:val="18"/>
    </w:rPr>
  </w:style>
  <w:style w:type="table" w:styleId="af3">
    <w:name w:val="Table Grid"/>
    <w:basedOn w:val="a1"/>
    <w:uiPriority w:val="39"/>
    <w:qFormat/>
    <w:rsid w:val="00DB194A"/>
    <w:pPr>
      <w:widowControl w:val="0"/>
      <w:spacing w:line="36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标准文件_表格"/>
    <w:basedOn w:val="a"/>
    <w:qFormat/>
    <w:rsid w:val="00DB194A"/>
    <w:pPr>
      <w:widowControl/>
      <w:autoSpaceDE w:val="0"/>
      <w:autoSpaceDN w:val="0"/>
      <w:jc w:val="center"/>
    </w:pPr>
    <w:rPr>
      <w:rFonts w:ascii="宋体" w:eastAsia="宋体" w:hAnsi="Times New Roman" w:cs="Times New Roman"/>
      <w:kern w:val="0"/>
      <w:sz w:val="18"/>
      <w:szCs w:val="20"/>
    </w:rPr>
  </w:style>
  <w:style w:type="paragraph" w:customStyle="1" w:styleId="af5">
    <w:name w:val="标准文件_段"/>
    <w:link w:val="Char"/>
    <w:qFormat/>
    <w:rsid w:val="00FC2AB5"/>
    <w:pPr>
      <w:autoSpaceDE w:val="0"/>
      <w:autoSpaceDN w:val="0"/>
      <w:ind w:firstLineChars="200" w:firstLine="200"/>
      <w:jc w:val="both"/>
    </w:pPr>
    <w:rPr>
      <w:rFonts w:ascii="宋体" w:eastAsia="宋体" w:hAnsi="Times New Roman" w:cs="Times New Roman"/>
      <w:kern w:val="0"/>
      <w:szCs w:val="20"/>
    </w:rPr>
  </w:style>
  <w:style w:type="character" w:customStyle="1" w:styleId="Char">
    <w:name w:val="标准文件_段 Char"/>
    <w:link w:val="af5"/>
    <w:qFormat/>
    <w:rsid w:val="00FC2AB5"/>
    <w:rPr>
      <w:rFonts w:ascii="宋体" w:eastAsia="宋体" w:hAnsi="Times New Roman" w:cs="Times New Roman"/>
      <w:kern w:val="0"/>
      <w:szCs w:val="20"/>
    </w:rPr>
  </w:style>
  <w:style w:type="paragraph" w:customStyle="1" w:styleId="TableParagraph">
    <w:name w:val="Table Paragraph"/>
    <w:basedOn w:val="a"/>
    <w:uiPriority w:val="1"/>
    <w:qFormat/>
    <w:rsid w:val="00FC2AB5"/>
    <w:pPr>
      <w:autoSpaceDE w:val="0"/>
      <w:autoSpaceDN w:val="0"/>
      <w:jc w:val="left"/>
    </w:pPr>
    <w:rPr>
      <w:rFonts w:ascii="宋体" w:eastAsia="宋体" w:hAnsi="宋体" w:cs="宋体"/>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433</Words>
  <Characters>2186</Characters>
  <Application>Microsoft Office Word</Application>
  <DocSecurity>0</DocSecurity>
  <Lines>84</Lines>
  <Paragraphs>68</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辉 刘</dc:creator>
  <cp:keywords/>
  <dc:description/>
  <cp:lastModifiedBy>zz t</cp:lastModifiedBy>
  <cp:revision>56</cp:revision>
  <cp:lastPrinted>2025-10-30T08:16:00Z</cp:lastPrinted>
  <dcterms:created xsi:type="dcterms:W3CDTF">2025-10-27T07:49:00Z</dcterms:created>
  <dcterms:modified xsi:type="dcterms:W3CDTF">2026-03-13T06:55:00Z</dcterms:modified>
</cp:coreProperties>
</file>