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550" w:rsidRDefault="00A15550" w:rsidP="00A15550">
      <w:pPr>
        <w:pStyle w:val="1"/>
        <w:tabs>
          <w:tab w:val="left" w:pos="709"/>
        </w:tabs>
        <w:spacing w:line="600" w:lineRule="exact"/>
        <w:ind w:leftChars="-270" w:left="-1" w:hangingChars="177" w:hanging="566"/>
        <w:jc w:val="left"/>
        <w:rPr>
          <w:rFonts w:ascii="黑体" w:eastAsia="黑体" w:hAnsi="黑体"/>
          <w:color w:val="000000"/>
          <w:sz w:val="32"/>
          <w:szCs w:val="32"/>
        </w:rPr>
      </w:pPr>
      <w:bookmarkStart w:id="0" w:name="_GoBack"/>
      <w:r>
        <w:rPr>
          <w:rFonts w:ascii="黑体" w:eastAsia="黑体" w:hAnsi="黑体" w:hint="eastAsia"/>
          <w:color w:val="000000"/>
          <w:sz w:val="32"/>
          <w:szCs w:val="32"/>
        </w:rPr>
        <w:t>附件1</w:t>
      </w:r>
    </w:p>
    <w:p w:rsidR="00A15550" w:rsidRDefault="00A15550" w:rsidP="00A15550">
      <w:pPr>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上海市宁静小区建设试点评价指标体系</w:t>
      </w:r>
    </w:p>
    <w:tbl>
      <w:tblPr>
        <w:tblW w:w="15789" w:type="dxa"/>
        <w:jc w:val="center"/>
        <w:tblCellMar>
          <w:left w:w="28" w:type="dxa"/>
          <w:right w:w="28" w:type="dxa"/>
        </w:tblCellMar>
        <w:tblLook w:val="0000" w:firstRow="0" w:lastRow="0" w:firstColumn="0" w:lastColumn="0" w:noHBand="0" w:noVBand="0"/>
      </w:tblPr>
      <w:tblGrid>
        <w:gridCol w:w="420"/>
        <w:gridCol w:w="851"/>
        <w:gridCol w:w="8505"/>
        <w:gridCol w:w="700"/>
        <w:gridCol w:w="5313"/>
      </w:tblGrid>
      <w:tr w:rsidR="00A15550" w:rsidRPr="00F91F45" w:rsidTr="009427F6">
        <w:trPr>
          <w:trHeight w:val="300"/>
          <w:tblHeader/>
          <w:jc w:val="center"/>
        </w:trPr>
        <w:tc>
          <w:tcPr>
            <w:tcW w:w="1271"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bookmarkEnd w:id="0"/>
          <w:p w:rsidR="00A15550" w:rsidRPr="00F91F45" w:rsidRDefault="00A15550" w:rsidP="009427F6">
            <w:pPr>
              <w:widowControl/>
              <w:jc w:val="center"/>
              <w:rPr>
                <w:rFonts w:ascii="宋体" w:hAnsi="宋体"/>
                <w:b/>
                <w:bCs/>
                <w:kern w:val="0"/>
                <w:szCs w:val="21"/>
              </w:rPr>
            </w:pPr>
            <w:r w:rsidRPr="00F91F45">
              <w:rPr>
                <w:rFonts w:ascii="宋体" w:hAnsi="宋体" w:hint="eastAsia"/>
                <w:b/>
                <w:bCs/>
                <w:kern w:val="0"/>
                <w:szCs w:val="21"/>
              </w:rPr>
              <w:t>指标类别</w:t>
            </w:r>
          </w:p>
        </w:tc>
        <w:tc>
          <w:tcPr>
            <w:tcW w:w="8505" w:type="dxa"/>
            <w:tcBorders>
              <w:top w:val="single" w:sz="4" w:space="0" w:color="auto"/>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宋体"/>
                <w:b/>
                <w:bCs/>
                <w:kern w:val="0"/>
                <w:szCs w:val="21"/>
              </w:rPr>
            </w:pPr>
            <w:r w:rsidRPr="00F91F45">
              <w:rPr>
                <w:rFonts w:ascii="宋体" w:hAnsi="宋体" w:cs="宋体" w:hint="eastAsia"/>
                <w:b/>
                <w:bCs/>
                <w:kern w:val="0"/>
                <w:szCs w:val="21"/>
              </w:rPr>
              <w:t>指标内容</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b/>
                <w:bCs/>
                <w:kern w:val="0"/>
                <w:szCs w:val="21"/>
              </w:rPr>
            </w:pPr>
            <w:r w:rsidRPr="00F91F45">
              <w:rPr>
                <w:rFonts w:ascii="宋体" w:hAnsi="宋体" w:hint="eastAsia"/>
                <w:b/>
                <w:bCs/>
                <w:kern w:val="0"/>
                <w:szCs w:val="21"/>
              </w:rPr>
              <w:t>分值</w:t>
            </w:r>
          </w:p>
        </w:tc>
        <w:tc>
          <w:tcPr>
            <w:tcW w:w="5313" w:type="dxa"/>
            <w:tcBorders>
              <w:top w:val="single" w:sz="4" w:space="0" w:color="auto"/>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b/>
                <w:bCs/>
                <w:kern w:val="0"/>
                <w:szCs w:val="21"/>
              </w:rPr>
            </w:pPr>
            <w:r w:rsidRPr="00F91F45">
              <w:rPr>
                <w:rFonts w:ascii="宋体" w:hAnsi="宋体"/>
                <w:b/>
                <w:bCs/>
                <w:kern w:val="0"/>
                <w:szCs w:val="21"/>
              </w:rPr>
              <w:t>评价明细</w:t>
            </w:r>
          </w:p>
        </w:tc>
      </w:tr>
      <w:tr w:rsidR="00A15550" w:rsidRPr="00F91F45" w:rsidTr="009427F6">
        <w:trPr>
          <w:trHeight w:val="312"/>
          <w:jc w:val="center"/>
        </w:trPr>
        <w:tc>
          <w:tcPr>
            <w:tcW w:w="420" w:type="dxa"/>
            <w:vMerge w:val="restart"/>
            <w:tcBorders>
              <w:top w:val="nil"/>
              <w:left w:val="single" w:sz="4" w:space="0" w:color="auto"/>
              <w:bottom w:val="nil"/>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基本条件</w:t>
            </w:r>
          </w:p>
        </w:tc>
        <w:tc>
          <w:tcPr>
            <w:tcW w:w="851"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声环境质量</w:t>
            </w:r>
          </w:p>
        </w:tc>
        <w:tc>
          <w:tcPr>
            <w:tcW w:w="8505" w:type="dxa"/>
            <w:tcBorders>
              <w:top w:val="nil"/>
              <w:left w:val="nil"/>
              <w:bottom w:val="single" w:sz="4" w:space="0" w:color="auto"/>
              <w:right w:val="single" w:sz="4" w:space="0" w:color="auto"/>
            </w:tcBorders>
            <w:shd w:val="clear" w:color="000000" w:fill="FFFFFF"/>
          </w:tcPr>
          <w:p w:rsidR="00A15550" w:rsidRPr="00F91F45" w:rsidRDefault="00A15550" w:rsidP="009427F6">
            <w:pPr>
              <w:widowControl/>
              <w:snapToGrid w:val="0"/>
              <w:rPr>
                <w:rFonts w:ascii="宋体" w:hAnsi="宋体" w:cs="仿宋" w:hint="eastAsia"/>
                <w:kern w:val="0"/>
                <w:szCs w:val="21"/>
              </w:rPr>
            </w:pPr>
            <w:proofErr w:type="gramStart"/>
            <w:r w:rsidRPr="00F91F45">
              <w:rPr>
                <w:rFonts w:ascii="宋体" w:hAnsi="宋体" w:cs="仿宋" w:hint="eastAsia"/>
                <w:kern w:val="0"/>
                <w:szCs w:val="21"/>
              </w:rPr>
              <w:t>小区声环境质量达到声</w:t>
            </w:r>
            <w:proofErr w:type="gramEnd"/>
            <w:r w:rsidRPr="00F91F45">
              <w:rPr>
                <w:rFonts w:ascii="宋体" w:hAnsi="宋体" w:cs="仿宋" w:hint="eastAsia"/>
                <w:kern w:val="0"/>
                <w:szCs w:val="21"/>
              </w:rPr>
              <w:t>环境功能区标准要求，小区内无突出噪声矛盾。</w:t>
            </w:r>
          </w:p>
        </w:tc>
        <w:tc>
          <w:tcPr>
            <w:tcW w:w="700" w:type="dxa"/>
            <w:vMerge w:val="restart"/>
            <w:tcBorders>
              <w:top w:val="nil"/>
              <w:left w:val="single" w:sz="4" w:space="0" w:color="auto"/>
              <w:bottom w:val="nil"/>
              <w:right w:val="single" w:sz="4" w:space="0" w:color="auto"/>
            </w:tcBorders>
            <w:shd w:val="clear" w:color="000000" w:fill="FFFFFF"/>
            <w:vAlign w:val="center"/>
          </w:tcPr>
          <w:p w:rsidR="00A15550" w:rsidRPr="00F91F45" w:rsidRDefault="00A15550" w:rsidP="009427F6">
            <w:pPr>
              <w:widowControl/>
              <w:jc w:val="center"/>
              <w:rPr>
                <w:rFonts w:ascii="宋体" w:hAnsi="宋体" w:cs="仿宋" w:hint="eastAsia"/>
                <w:kern w:val="0"/>
                <w:szCs w:val="21"/>
              </w:rPr>
            </w:pPr>
            <w:r w:rsidRPr="00F91F45">
              <w:rPr>
                <w:rFonts w:ascii="宋体" w:hAnsi="宋体" w:cs="仿宋" w:hint="eastAsia"/>
                <w:kern w:val="0"/>
                <w:szCs w:val="21"/>
              </w:rPr>
              <w:t>/</w:t>
            </w:r>
          </w:p>
        </w:tc>
        <w:tc>
          <w:tcPr>
            <w:tcW w:w="5313" w:type="dxa"/>
            <w:vMerge w:val="restart"/>
            <w:tcBorders>
              <w:top w:val="nil"/>
              <w:left w:val="nil"/>
              <w:right w:val="single" w:sz="4" w:space="0" w:color="auto"/>
            </w:tcBorders>
            <w:shd w:val="clear" w:color="000000" w:fill="FFFFFF"/>
            <w:vAlign w:val="center"/>
          </w:tcPr>
          <w:p w:rsidR="00A15550" w:rsidRPr="00F91F45" w:rsidRDefault="00A15550" w:rsidP="009427F6">
            <w:pPr>
              <w:widowControl/>
              <w:rPr>
                <w:rFonts w:ascii="宋体" w:hAnsi="宋体" w:cs="仿宋" w:hint="eastAsia"/>
                <w:kern w:val="0"/>
                <w:szCs w:val="21"/>
              </w:rPr>
            </w:pPr>
            <w:r w:rsidRPr="00F91F45">
              <w:rPr>
                <w:rFonts w:ascii="宋体" w:hAnsi="宋体" w:cs="仿宋" w:hint="eastAsia"/>
                <w:kern w:val="0"/>
                <w:szCs w:val="21"/>
              </w:rPr>
              <w:t>必须符合的基本条件。</w:t>
            </w:r>
          </w:p>
        </w:tc>
      </w:tr>
      <w:tr w:rsidR="00A15550" w:rsidRPr="00F91F45" w:rsidTr="009427F6">
        <w:trPr>
          <w:trHeight w:val="312"/>
          <w:jc w:val="center"/>
        </w:trPr>
        <w:tc>
          <w:tcPr>
            <w:tcW w:w="420" w:type="dxa"/>
            <w:vMerge/>
            <w:tcBorders>
              <w:top w:val="nil"/>
              <w:left w:val="single" w:sz="4" w:space="0" w:color="auto"/>
              <w:bottom w:val="nil"/>
              <w:right w:val="single" w:sz="4" w:space="0" w:color="auto"/>
            </w:tcBorders>
            <w:shd w:val="clear" w:color="auto" w:fill="auto"/>
            <w:vAlign w:val="center"/>
          </w:tcPr>
          <w:p w:rsidR="00A15550" w:rsidRPr="00F91F45" w:rsidRDefault="00A15550" w:rsidP="009427F6">
            <w:pPr>
              <w:widowControl/>
              <w:jc w:val="left"/>
              <w:rPr>
                <w:rFonts w:ascii="宋体" w:hAnsi="宋体" w:cs="仿宋"/>
                <w:kern w:val="0"/>
                <w:szCs w:val="21"/>
              </w:rPr>
            </w:pPr>
          </w:p>
        </w:tc>
        <w:tc>
          <w:tcPr>
            <w:tcW w:w="851"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基础设施</w:t>
            </w:r>
          </w:p>
        </w:tc>
        <w:tc>
          <w:tcPr>
            <w:tcW w:w="8505" w:type="dxa"/>
            <w:tcBorders>
              <w:top w:val="nil"/>
              <w:left w:val="nil"/>
              <w:bottom w:val="single" w:sz="4" w:space="0" w:color="auto"/>
              <w:right w:val="single" w:sz="4" w:space="0" w:color="auto"/>
            </w:tcBorders>
            <w:shd w:val="clear" w:color="000000" w:fill="FFFFFF"/>
          </w:tcPr>
          <w:p w:rsidR="00A15550" w:rsidRPr="00F91F45" w:rsidRDefault="00A15550" w:rsidP="009427F6">
            <w:pPr>
              <w:widowControl/>
              <w:snapToGrid w:val="0"/>
              <w:rPr>
                <w:rFonts w:ascii="宋体" w:hAnsi="宋体" w:cs="仿宋" w:hint="eastAsia"/>
                <w:kern w:val="0"/>
                <w:szCs w:val="21"/>
              </w:rPr>
            </w:pPr>
            <w:r w:rsidRPr="00F91F45">
              <w:rPr>
                <w:rFonts w:ascii="宋体" w:hAnsi="宋体" w:cs="仿宋" w:hint="eastAsia"/>
                <w:kern w:val="0"/>
                <w:szCs w:val="21"/>
              </w:rPr>
              <w:t>小区相邻的营业性文化娱乐场所、餐饮等商业经营活动使用的设施设备噪声应符合社会生活环境噪声排放限值要求；小区内部电梯、供水、排水、供热、供电等共用设施设备的噪声应满足民用建筑隔声设计相关标准要求。无突出噪声矛盾。</w:t>
            </w:r>
          </w:p>
        </w:tc>
        <w:tc>
          <w:tcPr>
            <w:tcW w:w="700" w:type="dxa"/>
            <w:vMerge/>
            <w:tcBorders>
              <w:top w:val="nil"/>
              <w:left w:val="single" w:sz="4" w:space="0" w:color="auto"/>
              <w:bottom w:val="nil"/>
              <w:right w:val="single" w:sz="4" w:space="0" w:color="auto"/>
            </w:tcBorders>
            <w:shd w:val="clear" w:color="auto" w:fill="auto"/>
            <w:vAlign w:val="center"/>
          </w:tcPr>
          <w:p w:rsidR="00A15550" w:rsidRPr="00F91F45" w:rsidRDefault="00A15550" w:rsidP="009427F6">
            <w:pPr>
              <w:widowControl/>
              <w:jc w:val="left"/>
              <w:rPr>
                <w:rFonts w:ascii="宋体" w:hAnsi="宋体" w:cs="仿宋"/>
                <w:kern w:val="0"/>
                <w:szCs w:val="21"/>
              </w:rPr>
            </w:pPr>
          </w:p>
        </w:tc>
        <w:tc>
          <w:tcPr>
            <w:tcW w:w="5313" w:type="dxa"/>
            <w:vMerge/>
            <w:tcBorders>
              <w:left w:val="nil"/>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p>
        </w:tc>
      </w:tr>
      <w:tr w:rsidR="00A15550" w:rsidRPr="00F91F45" w:rsidTr="009427F6">
        <w:trPr>
          <w:trHeight w:val="312"/>
          <w:jc w:val="center"/>
        </w:trPr>
        <w:tc>
          <w:tcPr>
            <w:tcW w:w="420" w:type="dxa"/>
            <w:vMerge/>
            <w:tcBorders>
              <w:top w:val="nil"/>
              <w:left w:val="single" w:sz="4" w:space="0" w:color="auto"/>
              <w:bottom w:val="nil"/>
              <w:right w:val="single" w:sz="4" w:space="0" w:color="auto"/>
            </w:tcBorders>
            <w:shd w:val="clear" w:color="auto" w:fill="auto"/>
            <w:vAlign w:val="center"/>
          </w:tcPr>
          <w:p w:rsidR="00A15550" w:rsidRPr="00F91F45" w:rsidRDefault="00A15550" w:rsidP="009427F6">
            <w:pPr>
              <w:widowControl/>
              <w:jc w:val="left"/>
              <w:rPr>
                <w:rFonts w:ascii="宋体" w:hAnsi="宋体" w:cs="仿宋"/>
                <w:kern w:val="0"/>
                <w:szCs w:val="21"/>
              </w:rPr>
            </w:pPr>
          </w:p>
        </w:tc>
        <w:tc>
          <w:tcPr>
            <w:tcW w:w="851"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入住率</w:t>
            </w:r>
          </w:p>
        </w:tc>
        <w:tc>
          <w:tcPr>
            <w:tcW w:w="8505" w:type="dxa"/>
            <w:tcBorders>
              <w:top w:val="nil"/>
              <w:left w:val="nil"/>
              <w:bottom w:val="single" w:sz="4" w:space="0" w:color="auto"/>
              <w:right w:val="single" w:sz="4" w:space="0" w:color="auto"/>
            </w:tcBorders>
            <w:shd w:val="clear" w:color="000000" w:fill="FFFFFF"/>
          </w:tcPr>
          <w:p w:rsidR="00A15550" w:rsidRPr="00F91F45" w:rsidRDefault="00A15550" w:rsidP="009427F6">
            <w:pPr>
              <w:widowControl/>
              <w:snapToGrid w:val="0"/>
              <w:rPr>
                <w:rFonts w:ascii="宋体" w:hAnsi="宋体" w:cs="仿宋"/>
                <w:kern w:val="0"/>
                <w:szCs w:val="21"/>
              </w:rPr>
            </w:pPr>
            <w:r w:rsidRPr="00F91F45">
              <w:rPr>
                <w:rFonts w:ascii="宋体" w:hAnsi="宋体" w:cs="仿宋" w:hint="eastAsia"/>
                <w:kern w:val="0"/>
                <w:szCs w:val="21"/>
              </w:rPr>
              <w:t>小区占地面积、建筑面积、居民户数等应具有一定的规模，实际居民入住率80%以上。</w:t>
            </w:r>
          </w:p>
        </w:tc>
        <w:tc>
          <w:tcPr>
            <w:tcW w:w="700" w:type="dxa"/>
            <w:vMerge/>
            <w:tcBorders>
              <w:top w:val="nil"/>
              <w:left w:val="single" w:sz="4" w:space="0" w:color="auto"/>
              <w:bottom w:val="nil"/>
              <w:right w:val="single" w:sz="4" w:space="0" w:color="auto"/>
            </w:tcBorders>
            <w:shd w:val="clear" w:color="auto" w:fill="auto"/>
            <w:vAlign w:val="center"/>
          </w:tcPr>
          <w:p w:rsidR="00A15550" w:rsidRPr="00F91F45" w:rsidRDefault="00A15550" w:rsidP="009427F6">
            <w:pPr>
              <w:widowControl/>
              <w:jc w:val="left"/>
              <w:rPr>
                <w:rFonts w:ascii="宋体" w:hAnsi="宋体" w:cs="仿宋"/>
                <w:kern w:val="0"/>
                <w:szCs w:val="21"/>
              </w:rPr>
            </w:pPr>
          </w:p>
        </w:tc>
        <w:tc>
          <w:tcPr>
            <w:tcW w:w="5313" w:type="dxa"/>
            <w:vMerge/>
            <w:tcBorders>
              <w:left w:val="nil"/>
              <w:bottom w:val="nil"/>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p>
        </w:tc>
      </w:tr>
      <w:tr w:rsidR="00A15550" w:rsidRPr="00F91F45" w:rsidTr="009427F6">
        <w:trPr>
          <w:trHeight w:val="312"/>
          <w:jc w:val="center"/>
        </w:trPr>
        <w:tc>
          <w:tcPr>
            <w:tcW w:w="127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工作机制</w:t>
            </w: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snapToGrid w:val="0"/>
              <w:rPr>
                <w:rFonts w:ascii="宋体" w:hAnsi="宋体" w:cs="仿宋"/>
                <w:kern w:val="0"/>
                <w:szCs w:val="21"/>
              </w:rPr>
            </w:pPr>
            <w:r w:rsidRPr="00F91F45">
              <w:rPr>
                <w:rFonts w:ascii="宋体" w:hAnsi="宋体" w:cs="仿宋" w:hint="eastAsia"/>
                <w:kern w:val="0"/>
                <w:szCs w:val="21"/>
              </w:rPr>
              <w:t>小区设有宁静小区建设工作小组，明确参建社区居委会、物业管理部门、业主委员会等职责，设置专人负责宁静小区建设、噪声扰民劝阻和调解工作。</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5</w:t>
            </w:r>
          </w:p>
        </w:tc>
        <w:tc>
          <w:tcPr>
            <w:tcW w:w="5313" w:type="dxa"/>
            <w:tcBorders>
              <w:top w:val="single" w:sz="4" w:space="0" w:color="auto"/>
              <w:left w:val="nil"/>
              <w:bottom w:val="single" w:sz="4" w:space="0" w:color="auto"/>
              <w:right w:val="single" w:sz="4" w:space="0" w:color="auto"/>
            </w:tcBorders>
            <w:shd w:val="clear" w:color="000000" w:fill="FFFFFF"/>
            <w:vAlign w:val="center"/>
          </w:tcPr>
          <w:p w:rsidR="00A15550" w:rsidRPr="00F91F45" w:rsidRDefault="00A15550" w:rsidP="009427F6">
            <w:pPr>
              <w:widowControl/>
              <w:snapToGrid w:val="0"/>
              <w:rPr>
                <w:rFonts w:ascii="宋体" w:hAnsi="宋体" w:cs="仿宋"/>
                <w:kern w:val="0"/>
                <w:szCs w:val="21"/>
              </w:rPr>
            </w:pPr>
            <w:r w:rsidRPr="00F91F45">
              <w:rPr>
                <w:rFonts w:ascii="宋体" w:hAnsi="宋体" w:cs="仿宋" w:hint="eastAsia"/>
                <w:kern w:val="0"/>
                <w:szCs w:val="21"/>
              </w:rPr>
              <w:t>成立工作小组得2分；明确分工、职责、人员等，得3分。</w:t>
            </w:r>
          </w:p>
        </w:tc>
      </w:tr>
      <w:tr w:rsidR="00A15550" w:rsidRPr="00F91F45" w:rsidTr="009427F6">
        <w:trPr>
          <w:trHeight w:val="312"/>
          <w:jc w:val="center"/>
        </w:trPr>
        <w:tc>
          <w:tcPr>
            <w:tcW w:w="127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居民公约</w:t>
            </w: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snapToGrid w:val="0"/>
              <w:rPr>
                <w:rFonts w:ascii="宋体" w:hAnsi="宋体" w:cs="仿宋"/>
                <w:kern w:val="0"/>
                <w:szCs w:val="21"/>
              </w:rPr>
            </w:pPr>
            <w:r w:rsidRPr="00F91F45">
              <w:rPr>
                <w:rFonts w:ascii="宋体" w:hAnsi="宋体" w:cs="仿宋" w:hint="eastAsia"/>
                <w:kern w:val="0"/>
                <w:szCs w:val="21"/>
              </w:rPr>
              <w:t>小区应制定并公示居民公约，公约中应包括噪声控制规约相关内容；或制定宁静小区建设居民公约。</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snapToGrid w:val="0"/>
              <w:jc w:val="center"/>
              <w:rPr>
                <w:rFonts w:ascii="宋体" w:hAnsi="宋体" w:cs="仿宋" w:hint="eastAsia"/>
                <w:kern w:val="0"/>
                <w:szCs w:val="21"/>
              </w:rPr>
            </w:pPr>
            <w:r w:rsidRPr="00F91F45">
              <w:rPr>
                <w:rFonts w:ascii="宋体" w:hAnsi="宋体" w:cs="仿宋"/>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snapToGrid w:val="0"/>
              <w:rPr>
                <w:rFonts w:ascii="宋体" w:hAnsi="宋体" w:cs="仿宋"/>
                <w:kern w:val="0"/>
                <w:szCs w:val="21"/>
              </w:rPr>
            </w:pPr>
            <w:r w:rsidRPr="00F91F45">
              <w:rPr>
                <w:rFonts w:ascii="宋体" w:hAnsi="宋体" w:cs="仿宋" w:hint="eastAsia"/>
                <w:kern w:val="0"/>
                <w:szCs w:val="21"/>
              </w:rPr>
              <w:t>制定并公示公约，得2分；公约中明确主要噪声控制规约内容，得3分。</w:t>
            </w:r>
          </w:p>
        </w:tc>
      </w:tr>
      <w:tr w:rsidR="00A15550" w:rsidRPr="00F91F45" w:rsidTr="009427F6">
        <w:trPr>
          <w:trHeight w:val="312"/>
          <w:jc w:val="center"/>
        </w:trPr>
        <w:tc>
          <w:tcPr>
            <w:tcW w:w="127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管理制度</w:t>
            </w: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制定共用设施设备噪声管理制度，包括安装、维护、减振降噪措施等环节要求。</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snapToGrid w:val="0"/>
              <w:rPr>
                <w:rFonts w:ascii="宋体" w:hAnsi="宋体" w:cs="仿宋"/>
                <w:kern w:val="0"/>
                <w:szCs w:val="21"/>
              </w:rPr>
            </w:pPr>
            <w:r w:rsidRPr="00F91F45">
              <w:rPr>
                <w:rFonts w:ascii="宋体" w:hAnsi="宋体" w:cs="仿宋" w:hint="eastAsia"/>
                <w:kern w:val="0"/>
                <w:szCs w:val="21"/>
              </w:rPr>
              <w:t>制定制度，得2分；对各环节提出明确管理要求，得3分。</w:t>
            </w:r>
          </w:p>
        </w:tc>
      </w:tr>
      <w:tr w:rsidR="00A15550" w:rsidRPr="00F91F45" w:rsidTr="009427F6">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15550" w:rsidRPr="00F91F45" w:rsidRDefault="00A15550" w:rsidP="009427F6">
            <w:pPr>
              <w:widowControl/>
              <w:jc w:val="left"/>
              <w:rPr>
                <w:rFonts w:ascii="宋体" w:hAnsi="宋体" w:cs="仿宋"/>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制定小区内部施工及居民装修噪声管理制度，对施工与装修作业实施申报及登记管理，落实责任人，严格控制作业时间，提出监管、巡逻等管控措施。</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snapToGrid w:val="0"/>
              <w:rPr>
                <w:rFonts w:ascii="宋体" w:hAnsi="宋体" w:cs="仿宋"/>
                <w:kern w:val="0"/>
                <w:szCs w:val="21"/>
              </w:rPr>
            </w:pPr>
            <w:r w:rsidRPr="00F91F45">
              <w:rPr>
                <w:rFonts w:ascii="宋体" w:hAnsi="宋体" w:cs="仿宋" w:hint="eastAsia"/>
                <w:kern w:val="0"/>
                <w:szCs w:val="21"/>
              </w:rPr>
              <w:t>制定制度，得2分；对申报登记、作业时间、管控措施环节提出明确管理要求，各得1分。</w:t>
            </w:r>
          </w:p>
        </w:tc>
      </w:tr>
      <w:tr w:rsidR="00A15550" w:rsidRPr="00F91F45" w:rsidTr="009427F6">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15550" w:rsidRPr="00F91F45" w:rsidRDefault="00A15550" w:rsidP="009427F6">
            <w:pPr>
              <w:widowControl/>
              <w:jc w:val="left"/>
              <w:rPr>
                <w:rFonts w:ascii="宋体" w:hAnsi="宋体" w:cs="仿宋"/>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制定公共场所和群众体锻娱乐活动噪声管理制度，限定活动开展的时间、场所、内容、规模及音响设备要求等内容。</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snapToGrid w:val="0"/>
              <w:rPr>
                <w:rFonts w:ascii="宋体" w:hAnsi="宋体" w:cs="仿宋"/>
                <w:kern w:val="0"/>
                <w:szCs w:val="21"/>
              </w:rPr>
            </w:pPr>
            <w:r w:rsidRPr="00F91F45">
              <w:rPr>
                <w:rFonts w:ascii="宋体" w:hAnsi="宋体" w:cs="仿宋" w:hint="eastAsia"/>
                <w:kern w:val="0"/>
                <w:szCs w:val="21"/>
              </w:rPr>
              <w:t>制定制度，得2分；对活动时间与空间、活动内容与规模、音响设备提出明确管理要求，各得1分。</w:t>
            </w:r>
          </w:p>
        </w:tc>
      </w:tr>
      <w:tr w:rsidR="00A15550" w:rsidRPr="00F91F45" w:rsidTr="009427F6">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15550" w:rsidRPr="00F91F45" w:rsidRDefault="00A15550" w:rsidP="009427F6">
            <w:pPr>
              <w:widowControl/>
              <w:jc w:val="left"/>
              <w:rPr>
                <w:rFonts w:ascii="宋体" w:hAnsi="宋体" w:cs="仿宋"/>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制定文明养犬管理制度。</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snapToGrid w:val="0"/>
              <w:rPr>
                <w:rFonts w:ascii="宋体" w:hAnsi="宋体" w:cs="仿宋"/>
                <w:kern w:val="0"/>
                <w:szCs w:val="21"/>
              </w:rPr>
            </w:pPr>
            <w:r w:rsidRPr="00F91F45">
              <w:rPr>
                <w:rFonts w:ascii="宋体" w:hAnsi="宋体" w:cs="仿宋" w:hint="eastAsia"/>
                <w:kern w:val="0"/>
                <w:szCs w:val="21"/>
              </w:rPr>
              <w:t>制定制度，得2分；提出明确的噪声管控要求，得3分。</w:t>
            </w:r>
          </w:p>
        </w:tc>
      </w:tr>
      <w:tr w:rsidR="00A15550" w:rsidRPr="00F91F45" w:rsidTr="009427F6">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15550" w:rsidRPr="00F91F45" w:rsidRDefault="00A15550" w:rsidP="009427F6">
            <w:pPr>
              <w:widowControl/>
              <w:jc w:val="left"/>
              <w:rPr>
                <w:rFonts w:ascii="宋体" w:hAnsi="宋体" w:cs="仿宋"/>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制定机动车禁鸣、限速和停放管理制度，要求机动车防盗报警装置</w:t>
            </w:r>
            <w:proofErr w:type="gramStart"/>
            <w:r w:rsidRPr="00F91F45">
              <w:rPr>
                <w:rFonts w:ascii="宋体" w:hAnsi="宋体" w:cs="仿宋" w:hint="eastAsia"/>
                <w:kern w:val="0"/>
                <w:szCs w:val="21"/>
              </w:rPr>
              <w:t>不</w:t>
            </w:r>
            <w:proofErr w:type="gramEnd"/>
            <w:r w:rsidRPr="00F91F45">
              <w:rPr>
                <w:rFonts w:ascii="宋体" w:hAnsi="宋体" w:cs="仿宋" w:hint="eastAsia"/>
                <w:kern w:val="0"/>
                <w:szCs w:val="21"/>
              </w:rPr>
              <w:t>扰民。</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jc w:val="center"/>
              <w:rPr>
                <w:rFonts w:ascii="宋体" w:hAnsi="宋体" w:cs="仿宋" w:hint="eastAsia"/>
                <w:kern w:val="0"/>
                <w:szCs w:val="21"/>
              </w:rPr>
            </w:pPr>
            <w:r w:rsidRPr="00F91F45">
              <w:rPr>
                <w:rFonts w:ascii="宋体" w:hAnsi="宋体" w:cs="仿宋"/>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rPr>
                <w:rFonts w:ascii="宋体" w:hAnsi="宋体" w:cs="仿宋"/>
                <w:kern w:val="0"/>
                <w:szCs w:val="21"/>
              </w:rPr>
            </w:pPr>
            <w:r w:rsidRPr="00F91F45">
              <w:rPr>
                <w:rFonts w:ascii="宋体" w:hAnsi="宋体" w:cs="仿宋" w:hint="eastAsia"/>
                <w:kern w:val="0"/>
                <w:szCs w:val="21"/>
              </w:rPr>
              <w:t>制定制度，得2分；对限速禁鸣与规范停放、防盗报警装置等提出明确管理要求，得3分。</w:t>
            </w:r>
          </w:p>
        </w:tc>
      </w:tr>
      <w:tr w:rsidR="00A15550" w:rsidRPr="00F91F45" w:rsidTr="009427F6">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15550" w:rsidRPr="00F91F45" w:rsidRDefault="00A15550" w:rsidP="009427F6">
            <w:pPr>
              <w:widowControl/>
              <w:jc w:val="left"/>
              <w:rPr>
                <w:rFonts w:ascii="宋体" w:hAnsi="宋体" w:cs="仿宋"/>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制定空调室外机和脱排油烟机等安装和使用管理制度。</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snapToGrid w:val="0"/>
              <w:rPr>
                <w:rFonts w:ascii="宋体" w:hAnsi="宋体" w:cs="仿宋"/>
                <w:kern w:val="0"/>
                <w:szCs w:val="21"/>
              </w:rPr>
            </w:pPr>
            <w:r w:rsidRPr="00F91F45">
              <w:rPr>
                <w:rFonts w:ascii="宋体" w:hAnsi="宋体" w:cs="仿宋" w:hint="eastAsia"/>
                <w:kern w:val="0"/>
                <w:szCs w:val="21"/>
              </w:rPr>
              <w:t>制定制度，得2分；提出明确的噪声管控要求，得3分。</w:t>
            </w:r>
          </w:p>
        </w:tc>
      </w:tr>
      <w:tr w:rsidR="00A15550" w:rsidRPr="00F91F45" w:rsidTr="009427F6">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15550" w:rsidRPr="00F91F45" w:rsidRDefault="00A15550" w:rsidP="009427F6">
            <w:pPr>
              <w:widowControl/>
              <w:jc w:val="left"/>
              <w:rPr>
                <w:rFonts w:ascii="宋体" w:hAnsi="宋体" w:cs="仿宋"/>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制定家庭娱乐噪声管理制度。</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snapToGrid w:val="0"/>
              <w:rPr>
                <w:rFonts w:ascii="宋体" w:hAnsi="宋体" w:cs="仿宋"/>
                <w:kern w:val="0"/>
                <w:szCs w:val="21"/>
              </w:rPr>
            </w:pPr>
            <w:r w:rsidRPr="00F91F45">
              <w:rPr>
                <w:rFonts w:ascii="宋体" w:hAnsi="宋体" w:cs="仿宋" w:hint="eastAsia"/>
                <w:kern w:val="0"/>
                <w:szCs w:val="21"/>
              </w:rPr>
              <w:t>制定制度，得2分；提出明确的噪声管控要求，得3分。</w:t>
            </w:r>
          </w:p>
        </w:tc>
      </w:tr>
      <w:tr w:rsidR="00A15550" w:rsidRPr="00F91F45" w:rsidTr="009427F6">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15550" w:rsidRPr="00F91F45" w:rsidRDefault="00A15550" w:rsidP="009427F6">
            <w:pPr>
              <w:widowControl/>
              <w:jc w:val="left"/>
              <w:rPr>
                <w:rFonts w:ascii="宋体" w:hAnsi="宋体" w:cs="仿宋"/>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制定烟花爆竹禁燃管理制度。</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snapToGrid w:val="0"/>
              <w:rPr>
                <w:rFonts w:ascii="宋体" w:hAnsi="宋体" w:cs="仿宋"/>
                <w:kern w:val="0"/>
                <w:szCs w:val="21"/>
              </w:rPr>
            </w:pPr>
            <w:r w:rsidRPr="00F91F45">
              <w:rPr>
                <w:rFonts w:ascii="宋体" w:hAnsi="宋体" w:cs="仿宋" w:hint="eastAsia"/>
                <w:kern w:val="0"/>
                <w:szCs w:val="21"/>
              </w:rPr>
              <w:t>制定制度，得2分；严格管理得3分（发现有燃放烟花爆竹，不得分）。</w:t>
            </w:r>
          </w:p>
        </w:tc>
      </w:tr>
      <w:tr w:rsidR="00A15550" w:rsidRPr="00F91F45" w:rsidTr="009427F6">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15550" w:rsidRPr="00F91F45" w:rsidRDefault="00A15550" w:rsidP="009427F6">
            <w:pPr>
              <w:widowControl/>
              <w:jc w:val="left"/>
              <w:rPr>
                <w:rFonts w:ascii="宋体" w:hAnsi="宋体" w:cs="仿宋"/>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制定小区配套及住宅楼内商业经营活动管理制度。</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snapToGrid w:val="0"/>
              <w:rPr>
                <w:rFonts w:ascii="宋体" w:hAnsi="宋体" w:cs="仿宋"/>
                <w:kern w:val="0"/>
                <w:szCs w:val="21"/>
              </w:rPr>
            </w:pPr>
            <w:r w:rsidRPr="00F91F45">
              <w:rPr>
                <w:rFonts w:ascii="宋体" w:hAnsi="宋体" w:cs="仿宋" w:hint="eastAsia"/>
                <w:kern w:val="0"/>
                <w:szCs w:val="21"/>
              </w:rPr>
              <w:t>制定制度，得2分；要求小区内、住宅楼内不开办产生噪声扰民的文化娱乐场所，得1分；对其他商业经营活动提出明确的噪声管控要求，得2分。</w:t>
            </w:r>
          </w:p>
        </w:tc>
      </w:tr>
      <w:tr w:rsidR="00A15550" w:rsidRPr="00F91F45" w:rsidTr="009427F6">
        <w:trPr>
          <w:trHeight w:val="312"/>
          <w:jc w:val="center"/>
        </w:trPr>
        <w:tc>
          <w:tcPr>
            <w:tcW w:w="127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标识与宣传</w:t>
            </w: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在小区醒目位置设置宁静素养宣传标语、提示标语、提示牌或在显示屏滚动宣传。</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 xml:space="preserve">　</w:t>
            </w:r>
          </w:p>
        </w:tc>
      </w:tr>
      <w:tr w:rsidR="00A15550" w:rsidRPr="00F91F45" w:rsidTr="009427F6">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15550" w:rsidRPr="00F91F45" w:rsidRDefault="00A15550" w:rsidP="009427F6">
            <w:pPr>
              <w:widowControl/>
              <w:jc w:val="left"/>
              <w:rPr>
                <w:rFonts w:ascii="宋体" w:hAnsi="宋体" w:cs="仿宋"/>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在小区内开展噪声污染防治宣传活动。</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snapToGrid w:val="0"/>
              <w:rPr>
                <w:rFonts w:ascii="宋体" w:hAnsi="宋体" w:cs="仿宋"/>
                <w:kern w:val="0"/>
                <w:szCs w:val="21"/>
              </w:rPr>
            </w:pPr>
            <w:r w:rsidRPr="00F91F45">
              <w:rPr>
                <w:rFonts w:ascii="宋体" w:hAnsi="宋体" w:cs="仿宋" w:hint="eastAsia"/>
                <w:kern w:val="0"/>
                <w:szCs w:val="21"/>
              </w:rPr>
              <w:t>印发宣传材料，得2分；组织开展宣传活动，得3分。</w:t>
            </w:r>
          </w:p>
        </w:tc>
      </w:tr>
      <w:tr w:rsidR="00A15550" w:rsidRPr="00F91F45" w:rsidTr="009427F6">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15550" w:rsidRPr="00F91F45" w:rsidRDefault="00A15550" w:rsidP="009427F6">
            <w:pPr>
              <w:widowControl/>
              <w:jc w:val="left"/>
              <w:rPr>
                <w:rFonts w:ascii="宋体" w:hAnsi="宋体" w:cs="仿宋"/>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设立机动车禁鸣和减速慢行标志。</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 xml:space="preserve">　</w:t>
            </w:r>
          </w:p>
        </w:tc>
      </w:tr>
      <w:tr w:rsidR="00A15550" w:rsidRPr="00F91F45" w:rsidTr="009427F6">
        <w:trPr>
          <w:trHeight w:val="312"/>
          <w:jc w:val="center"/>
        </w:trPr>
        <w:tc>
          <w:tcPr>
            <w:tcW w:w="127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公众参与</w:t>
            </w: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设置并公布投诉电话、投诉信箱或电子邮箱等投诉渠道，收集居民意见并制定针对性解决措施。</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 xml:space="preserve">　</w:t>
            </w:r>
          </w:p>
        </w:tc>
      </w:tr>
      <w:tr w:rsidR="00A15550" w:rsidRPr="00F91F45" w:rsidTr="009427F6">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15550" w:rsidRPr="00F91F45" w:rsidRDefault="00A15550" w:rsidP="009427F6">
            <w:pPr>
              <w:widowControl/>
              <w:jc w:val="left"/>
              <w:rPr>
                <w:rFonts w:ascii="宋体" w:hAnsi="宋体" w:cs="仿宋"/>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成立小区环境保护志愿者队伍，开展噪声污染防治日常监督和宁静小区建设工作。</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jc w:val="center"/>
              <w:rPr>
                <w:rFonts w:ascii="宋体" w:hAnsi="宋体" w:cs="仿宋" w:hint="eastAsia"/>
                <w:kern w:val="0"/>
                <w:szCs w:val="21"/>
              </w:rPr>
            </w:pPr>
            <w:r w:rsidRPr="00F91F45">
              <w:rPr>
                <w:rFonts w:ascii="宋体" w:hAnsi="宋体" w:cs="仿宋"/>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rPr>
                <w:rFonts w:ascii="宋体" w:hAnsi="宋体" w:cs="仿宋"/>
                <w:kern w:val="0"/>
                <w:szCs w:val="21"/>
              </w:rPr>
            </w:pPr>
            <w:r w:rsidRPr="00F91F45">
              <w:rPr>
                <w:rFonts w:ascii="宋体" w:hAnsi="宋体" w:cs="仿宋" w:hint="eastAsia"/>
                <w:kern w:val="0"/>
                <w:szCs w:val="21"/>
              </w:rPr>
              <w:t>成立志愿者队伍（20人以上），得3分；志愿活动开展较好的，得2分。</w:t>
            </w:r>
          </w:p>
        </w:tc>
      </w:tr>
      <w:tr w:rsidR="00A15550" w:rsidRPr="00F91F45" w:rsidTr="009427F6">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15550" w:rsidRPr="00F91F45" w:rsidRDefault="00A15550" w:rsidP="009427F6">
            <w:pPr>
              <w:widowControl/>
              <w:jc w:val="left"/>
              <w:rPr>
                <w:rFonts w:ascii="宋体" w:hAnsi="宋体" w:cs="仿宋"/>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snapToGrid w:val="0"/>
              <w:rPr>
                <w:rFonts w:ascii="宋体" w:hAnsi="宋体" w:cs="仿宋"/>
                <w:kern w:val="0"/>
                <w:szCs w:val="21"/>
              </w:rPr>
            </w:pPr>
            <w:r w:rsidRPr="00F91F45">
              <w:rPr>
                <w:rFonts w:ascii="宋体" w:hAnsi="宋体" w:cs="仿宋" w:hint="eastAsia"/>
                <w:kern w:val="0"/>
                <w:szCs w:val="21"/>
              </w:rPr>
              <w:t>采取抽样问卷调查或座谈会形式开展调查，居民对</w:t>
            </w:r>
            <w:proofErr w:type="gramStart"/>
            <w:r w:rsidRPr="00F91F45">
              <w:rPr>
                <w:rFonts w:ascii="宋体" w:hAnsi="宋体" w:cs="仿宋" w:hint="eastAsia"/>
                <w:kern w:val="0"/>
                <w:szCs w:val="21"/>
              </w:rPr>
              <w:t>小区内声环境质量</w:t>
            </w:r>
            <w:proofErr w:type="gramEnd"/>
            <w:r w:rsidRPr="00F91F45">
              <w:rPr>
                <w:rFonts w:ascii="宋体" w:hAnsi="宋体" w:cs="仿宋" w:hint="eastAsia"/>
                <w:kern w:val="0"/>
                <w:szCs w:val="21"/>
              </w:rPr>
              <w:t>满意率、宁静小区建设内容的知晓率、建设工作的满意率不低于90%。</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开展小区住户调查工作（20人以上），得2分；满意率不低于90%，得3分。</w:t>
            </w:r>
          </w:p>
        </w:tc>
      </w:tr>
      <w:tr w:rsidR="00A15550" w:rsidRPr="00F91F45" w:rsidTr="009427F6">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15550" w:rsidRPr="00F91F45" w:rsidRDefault="00A15550" w:rsidP="009427F6">
            <w:pPr>
              <w:widowControl/>
              <w:jc w:val="left"/>
              <w:rPr>
                <w:rFonts w:ascii="宋体" w:hAnsi="宋体" w:cs="仿宋"/>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snapToGrid w:val="0"/>
              <w:rPr>
                <w:rFonts w:ascii="宋体" w:hAnsi="宋体" w:cs="仿宋"/>
                <w:kern w:val="0"/>
                <w:szCs w:val="21"/>
              </w:rPr>
            </w:pPr>
            <w:r w:rsidRPr="00F91F45">
              <w:rPr>
                <w:rFonts w:ascii="宋体" w:hAnsi="宋体" w:cs="仿宋" w:hint="eastAsia"/>
                <w:kern w:val="0"/>
                <w:szCs w:val="21"/>
              </w:rPr>
              <w:t>联合小区周边产生噪声的企事业单位、社会团体和个体经营者共同参与宁静小区建设活动。</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 xml:space="preserve">　</w:t>
            </w:r>
          </w:p>
        </w:tc>
      </w:tr>
      <w:tr w:rsidR="00A15550" w:rsidRPr="00F91F45" w:rsidTr="009427F6">
        <w:trPr>
          <w:trHeight w:val="312"/>
          <w:jc w:val="center"/>
        </w:trPr>
        <w:tc>
          <w:tcPr>
            <w:tcW w:w="127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proofErr w:type="gramStart"/>
            <w:r w:rsidRPr="00F91F45">
              <w:rPr>
                <w:rFonts w:ascii="宋体" w:hAnsi="宋体" w:cs="仿宋" w:hint="eastAsia"/>
                <w:kern w:val="0"/>
                <w:szCs w:val="21"/>
              </w:rPr>
              <w:t>档案台</w:t>
            </w:r>
            <w:proofErr w:type="gramEnd"/>
            <w:r w:rsidRPr="00F91F45">
              <w:rPr>
                <w:rFonts w:ascii="宋体" w:hAnsi="宋体" w:cs="仿宋" w:hint="eastAsia"/>
                <w:kern w:val="0"/>
                <w:szCs w:val="21"/>
              </w:rPr>
              <w:t>账</w:t>
            </w: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申请报告：包括宁静小区建设申请表、建设工作计划、建设工作总结、噪声监测报告、小区平面图。</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每项各1分。</w:t>
            </w:r>
          </w:p>
        </w:tc>
      </w:tr>
      <w:tr w:rsidR="00A15550" w:rsidRPr="00F91F45" w:rsidTr="009427F6">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15550" w:rsidRPr="00F91F45" w:rsidRDefault="00A15550" w:rsidP="009427F6">
            <w:pPr>
              <w:widowControl/>
              <w:jc w:val="left"/>
              <w:rPr>
                <w:rFonts w:ascii="宋体" w:hAnsi="宋体" w:cs="仿宋"/>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snapToGrid w:val="0"/>
              <w:rPr>
                <w:rFonts w:ascii="宋体" w:hAnsi="宋体" w:cs="仿宋"/>
                <w:kern w:val="0"/>
                <w:szCs w:val="21"/>
              </w:rPr>
            </w:pPr>
            <w:r w:rsidRPr="00F91F45">
              <w:rPr>
                <w:rFonts w:ascii="宋体" w:hAnsi="宋体" w:cs="仿宋" w:hint="eastAsia"/>
                <w:kern w:val="0"/>
                <w:szCs w:val="21"/>
              </w:rPr>
              <w:t>附件材料：小区噪声污染防治公约或管理制度、宣传动员会议记录、噪声投诉处理记录、志愿者名单、住宅装修备案登记记录、机动车和宠物花名册、噪声治理工程照片、宣传活动记录和照片等。</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5</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rPr>
                <w:rFonts w:ascii="宋体" w:hAnsi="宋体" w:cs="仿宋"/>
                <w:kern w:val="0"/>
                <w:szCs w:val="21"/>
              </w:rPr>
            </w:pPr>
            <w:r w:rsidRPr="00F91F45">
              <w:rPr>
                <w:rFonts w:ascii="宋体" w:hAnsi="宋体" w:cs="仿宋" w:hint="eastAsia"/>
                <w:kern w:val="0"/>
                <w:szCs w:val="21"/>
              </w:rPr>
              <w:t xml:space="preserve">　</w:t>
            </w:r>
          </w:p>
        </w:tc>
      </w:tr>
      <w:tr w:rsidR="00A15550" w:rsidRPr="00F91F45" w:rsidTr="009427F6">
        <w:trPr>
          <w:trHeight w:val="312"/>
          <w:jc w:val="center"/>
        </w:trPr>
        <w:tc>
          <w:tcPr>
            <w:tcW w:w="127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A15550" w:rsidRPr="00F91F45" w:rsidRDefault="00A15550" w:rsidP="009427F6">
            <w:pPr>
              <w:widowControl/>
              <w:jc w:val="center"/>
              <w:rPr>
                <w:rFonts w:ascii="宋体" w:hAnsi="宋体" w:cs="仿宋"/>
                <w:kern w:val="0"/>
                <w:szCs w:val="21"/>
              </w:rPr>
            </w:pPr>
            <w:r w:rsidRPr="00F91F45">
              <w:rPr>
                <w:rFonts w:ascii="宋体" w:hAnsi="宋体" w:cs="仿宋" w:hint="eastAsia"/>
                <w:kern w:val="0"/>
                <w:szCs w:val="21"/>
              </w:rPr>
              <w:t>创新机制</w:t>
            </w: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snapToGrid w:val="0"/>
              <w:rPr>
                <w:rFonts w:ascii="宋体" w:hAnsi="宋体" w:cs="仿宋"/>
                <w:kern w:val="0"/>
                <w:szCs w:val="21"/>
              </w:rPr>
            </w:pPr>
            <w:r w:rsidRPr="00F91F45">
              <w:rPr>
                <w:rFonts w:ascii="宋体" w:hAnsi="宋体" w:cs="仿宋" w:hint="eastAsia"/>
                <w:kern w:val="0"/>
                <w:szCs w:val="21"/>
              </w:rPr>
              <w:t>采用数字技术、智能化等手段。</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snapToGrid w:val="0"/>
              <w:jc w:val="center"/>
              <w:rPr>
                <w:rFonts w:ascii="宋体" w:hAnsi="宋体" w:cs="仿宋" w:hint="eastAsia"/>
                <w:kern w:val="0"/>
                <w:szCs w:val="21"/>
              </w:rPr>
            </w:pPr>
            <w:r w:rsidRPr="00F91F45">
              <w:rPr>
                <w:rFonts w:ascii="宋体" w:hAnsi="宋体" w:cs="仿宋"/>
                <w:kern w:val="0"/>
                <w:szCs w:val="21"/>
              </w:rPr>
              <w:t>2</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snapToGrid w:val="0"/>
              <w:rPr>
                <w:rFonts w:ascii="宋体" w:hAnsi="宋体" w:cs="仿宋"/>
                <w:kern w:val="0"/>
                <w:szCs w:val="21"/>
              </w:rPr>
            </w:pPr>
            <w:r w:rsidRPr="00F91F45">
              <w:rPr>
                <w:rFonts w:ascii="宋体" w:hAnsi="宋体" w:cs="仿宋" w:hint="eastAsia"/>
                <w:kern w:val="0"/>
                <w:szCs w:val="21"/>
              </w:rPr>
              <w:t>加分项。</w:t>
            </w:r>
          </w:p>
        </w:tc>
      </w:tr>
      <w:tr w:rsidR="00A15550" w:rsidRPr="00F91F45" w:rsidTr="009427F6">
        <w:trPr>
          <w:trHeight w:val="312"/>
          <w:jc w:val="center"/>
        </w:trPr>
        <w:tc>
          <w:tcPr>
            <w:tcW w:w="1271" w:type="dxa"/>
            <w:gridSpan w:val="2"/>
            <w:vMerge/>
            <w:tcBorders>
              <w:top w:val="single" w:sz="4" w:space="0" w:color="auto"/>
              <w:left w:val="single" w:sz="4" w:space="0" w:color="auto"/>
              <w:bottom w:val="single" w:sz="4" w:space="0" w:color="auto"/>
              <w:right w:val="single" w:sz="4" w:space="0" w:color="000000"/>
            </w:tcBorders>
            <w:shd w:val="clear" w:color="auto" w:fill="auto"/>
            <w:vAlign w:val="center"/>
          </w:tcPr>
          <w:p w:rsidR="00A15550" w:rsidRPr="00F91F45" w:rsidRDefault="00A15550" w:rsidP="009427F6">
            <w:pPr>
              <w:widowControl/>
              <w:jc w:val="left"/>
              <w:rPr>
                <w:rFonts w:ascii="宋体" w:hAnsi="宋体" w:cs="仿宋"/>
                <w:kern w:val="0"/>
                <w:szCs w:val="21"/>
              </w:rPr>
            </w:pPr>
          </w:p>
        </w:tc>
        <w:tc>
          <w:tcPr>
            <w:tcW w:w="8505"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snapToGrid w:val="0"/>
              <w:rPr>
                <w:rFonts w:ascii="宋体" w:hAnsi="宋体" w:cs="仿宋" w:hint="eastAsia"/>
                <w:kern w:val="0"/>
                <w:szCs w:val="21"/>
              </w:rPr>
            </w:pPr>
            <w:r w:rsidRPr="00F91F45">
              <w:rPr>
                <w:rFonts w:ascii="宋体" w:hAnsi="宋体" w:cs="仿宋" w:hint="eastAsia"/>
                <w:kern w:val="0"/>
                <w:szCs w:val="21"/>
              </w:rPr>
              <w:t>建立宁静小区建设的长效管理机制或其它特色创新工作。</w:t>
            </w:r>
          </w:p>
        </w:tc>
        <w:tc>
          <w:tcPr>
            <w:tcW w:w="700"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snapToGrid w:val="0"/>
              <w:jc w:val="center"/>
              <w:rPr>
                <w:rFonts w:ascii="宋体" w:hAnsi="宋体" w:cs="仿宋" w:hint="eastAsia"/>
                <w:kern w:val="0"/>
                <w:szCs w:val="21"/>
              </w:rPr>
            </w:pPr>
            <w:r w:rsidRPr="00F91F45">
              <w:rPr>
                <w:rFonts w:ascii="宋体" w:hAnsi="宋体" w:cs="仿宋"/>
                <w:kern w:val="0"/>
                <w:szCs w:val="21"/>
              </w:rPr>
              <w:t>2</w:t>
            </w:r>
          </w:p>
        </w:tc>
        <w:tc>
          <w:tcPr>
            <w:tcW w:w="5313" w:type="dxa"/>
            <w:tcBorders>
              <w:top w:val="nil"/>
              <w:left w:val="nil"/>
              <w:bottom w:val="single" w:sz="4" w:space="0" w:color="auto"/>
              <w:right w:val="single" w:sz="4" w:space="0" w:color="auto"/>
            </w:tcBorders>
            <w:shd w:val="clear" w:color="000000" w:fill="FFFFFF"/>
            <w:vAlign w:val="center"/>
          </w:tcPr>
          <w:p w:rsidR="00A15550" w:rsidRPr="00F91F45" w:rsidRDefault="00A15550" w:rsidP="009427F6">
            <w:pPr>
              <w:widowControl/>
              <w:snapToGrid w:val="0"/>
              <w:jc w:val="left"/>
              <w:rPr>
                <w:rFonts w:ascii="宋体" w:hAnsi="宋体" w:cs="仿宋"/>
                <w:kern w:val="0"/>
                <w:szCs w:val="21"/>
              </w:rPr>
            </w:pPr>
            <w:r w:rsidRPr="00F91F45">
              <w:rPr>
                <w:rFonts w:ascii="宋体" w:hAnsi="宋体" w:cs="仿宋" w:hint="eastAsia"/>
                <w:kern w:val="0"/>
                <w:szCs w:val="21"/>
              </w:rPr>
              <w:t>加分项。</w:t>
            </w:r>
          </w:p>
        </w:tc>
      </w:tr>
      <w:tr w:rsidR="00A15550" w:rsidRPr="00F91F45" w:rsidTr="009427F6">
        <w:trPr>
          <w:trHeight w:val="769"/>
          <w:jc w:val="center"/>
        </w:trPr>
        <w:tc>
          <w:tcPr>
            <w:tcW w:w="1578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15550" w:rsidRPr="00F91F45" w:rsidRDefault="00A15550" w:rsidP="009427F6">
            <w:pPr>
              <w:widowControl/>
              <w:snapToGrid w:val="0"/>
              <w:rPr>
                <w:rFonts w:ascii="宋体" w:hAnsi="宋体" w:cs="仿宋"/>
                <w:kern w:val="0"/>
                <w:szCs w:val="21"/>
              </w:rPr>
            </w:pPr>
            <w:r w:rsidRPr="00C17DB1">
              <w:rPr>
                <w:rFonts w:ascii="宋体" w:hAnsi="宋体" w:cs="仿宋" w:hint="eastAsia"/>
                <w:kern w:val="0"/>
                <w:szCs w:val="21"/>
                <w:highlight w:val="white"/>
              </w:rPr>
              <w:t>评级标准：得分低于80分为不合格、不予通过宁静小区建设；80-85分（含80分）评为</w:t>
            </w:r>
            <w:r w:rsidRPr="00C17DB1">
              <w:rPr>
                <w:rFonts w:ascii="宋体" w:hAnsi="宋体" w:cs="仿宋" w:hint="eastAsia"/>
                <w:b/>
                <w:bCs/>
                <w:kern w:val="0"/>
                <w:szCs w:val="21"/>
                <w:highlight w:val="white"/>
              </w:rPr>
              <w:t>一星宁静小区</w:t>
            </w:r>
            <w:r w:rsidRPr="00C17DB1">
              <w:rPr>
                <w:rFonts w:ascii="宋体" w:hAnsi="宋体" w:cs="仿宋" w:hint="eastAsia"/>
                <w:kern w:val="0"/>
                <w:szCs w:val="21"/>
                <w:highlight w:val="white"/>
              </w:rPr>
              <w:t>；85-90分（含85分）评为</w:t>
            </w:r>
            <w:r w:rsidRPr="00C17DB1">
              <w:rPr>
                <w:rFonts w:ascii="宋体" w:hAnsi="宋体" w:cs="仿宋" w:hint="eastAsia"/>
                <w:b/>
                <w:bCs/>
                <w:kern w:val="0"/>
                <w:szCs w:val="21"/>
                <w:highlight w:val="white"/>
              </w:rPr>
              <w:t>二星宁静小区</w:t>
            </w:r>
            <w:r w:rsidRPr="00C17DB1">
              <w:rPr>
                <w:rFonts w:ascii="宋体" w:hAnsi="宋体" w:cs="仿宋" w:hint="eastAsia"/>
                <w:kern w:val="0"/>
                <w:szCs w:val="21"/>
                <w:highlight w:val="white"/>
              </w:rPr>
              <w:t>；90分（含）以上评为</w:t>
            </w:r>
            <w:r w:rsidRPr="00C17DB1">
              <w:rPr>
                <w:rFonts w:ascii="宋体" w:hAnsi="宋体" w:cs="仿宋" w:hint="eastAsia"/>
                <w:b/>
                <w:bCs/>
                <w:kern w:val="0"/>
                <w:szCs w:val="21"/>
                <w:highlight w:val="white"/>
              </w:rPr>
              <w:t>三星宁静小区</w:t>
            </w:r>
            <w:r w:rsidRPr="00C17DB1">
              <w:rPr>
                <w:rFonts w:ascii="宋体" w:hAnsi="宋体" w:cs="仿宋" w:hint="eastAsia"/>
                <w:kern w:val="0"/>
                <w:szCs w:val="21"/>
                <w:highlight w:val="white"/>
              </w:rPr>
              <w:t>。</w:t>
            </w:r>
          </w:p>
        </w:tc>
      </w:tr>
    </w:tbl>
    <w:p w:rsidR="002836F2" w:rsidRPr="00A15550" w:rsidRDefault="00A15550"/>
    <w:sectPr w:rsidR="002836F2" w:rsidRPr="00A15550" w:rsidSect="00A15550">
      <w:footerReference w:type="even" r:id="rId4"/>
      <w:footerReference w:type="default" r:id="rId5"/>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45" w:rsidRDefault="00A15550" w:rsidP="00F91F45">
    <w:pPr>
      <w:pStyle w:val="a4"/>
      <w:jc w:val="center"/>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noProof/>
        <w:sz w:val="28"/>
        <w:szCs w:val="28"/>
      </w:rPr>
      <w:t>8</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45" w:rsidRPr="00EF4B2A" w:rsidRDefault="00A15550" w:rsidP="00F91F45">
    <w:pPr>
      <w:pStyle w:val="a4"/>
      <w:ind w:right="140"/>
      <w:jc w:val="center"/>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noProof/>
        <w:sz w:val="28"/>
        <w:szCs w:val="28"/>
      </w:rPr>
      <w:t>2</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50"/>
    <w:rsid w:val="005267D5"/>
    <w:rsid w:val="00A15550"/>
    <w:rsid w:val="00C52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71FFC-F451-4006-9204-52053CDF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A15550"/>
    <w:pPr>
      <w:widowControl w:val="0"/>
      <w:jc w:val="both"/>
    </w:pPr>
    <w:rPr>
      <w:rFonts w:ascii="Times New Roman" w:eastAsia="宋体" w:hAnsi="Times New Roman" w:cs="Times New Roman"/>
      <w:szCs w:val="24"/>
    </w:rPr>
  </w:style>
  <w:style w:type="paragraph" w:styleId="1">
    <w:name w:val="heading 1"/>
    <w:basedOn w:val="a"/>
    <w:next w:val="a"/>
    <w:link w:val="1Char"/>
    <w:qFormat/>
    <w:rsid w:val="00A15550"/>
    <w:pPr>
      <w:keepNext/>
      <w:outlineLvl w:val="0"/>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15550"/>
    <w:rPr>
      <w:rFonts w:ascii="Times New Roman" w:eastAsia="宋体" w:hAnsi="Times New Roman" w:cs="Times New Roman"/>
      <w:sz w:val="28"/>
      <w:szCs w:val="20"/>
      <w:lang w:val="x-none" w:eastAsia="x-none"/>
    </w:rPr>
  </w:style>
  <w:style w:type="paragraph" w:styleId="a3">
    <w:name w:val="Normal Indent"/>
    <w:basedOn w:val="a"/>
    <w:link w:val="Char"/>
    <w:qFormat/>
    <w:rsid w:val="00A15550"/>
    <w:pPr>
      <w:ind w:firstLineChars="200" w:firstLine="420"/>
    </w:pPr>
  </w:style>
  <w:style w:type="character" w:customStyle="1" w:styleId="Char">
    <w:name w:val="正文缩进 Char"/>
    <w:link w:val="a3"/>
    <w:rsid w:val="00A15550"/>
    <w:rPr>
      <w:rFonts w:ascii="Times New Roman" w:eastAsia="宋体" w:hAnsi="Times New Roman" w:cs="Times New Roman"/>
      <w:szCs w:val="24"/>
    </w:rPr>
  </w:style>
  <w:style w:type="paragraph" w:styleId="a4">
    <w:name w:val="footer"/>
    <w:basedOn w:val="a"/>
    <w:link w:val="Char0"/>
    <w:uiPriority w:val="99"/>
    <w:qFormat/>
    <w:rsid w:val="00A1555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15550"/>
    <w:rPr>
      <w:rFonts w:ascii="Times New Roman" w:eastAsia="宋体" w:hAnsi="Times New Roman" w:cs="Times New Roman"/>
      <w:sz w:val="18"/>
      <w:szCs w:val="18"/>
    </w:rPr>
  </w:style>
  <w:style w:type="paragraph" w:styleId="a5">
    <w:name w:val="Body Text Indent"/>
    <w:basedOn w:val="a"/>
    <w:link w:val="Char1"/>
    <w:uiPriority w:val="99"/>
    <w:semiHidden/>
    <w:unhideWhenUsed/>
    <w:rsid w:val="00A15550"/>
    <w:pPr>
      <w:spacing w:after="120"/>
      <w:ind w:leftChars="200" w:left="420"/>
    </w:pPr>
  </w:style>
  <w:style w:type="character" w:customStyle="1" w:styleId="Char1">
    <w:name w:val="正文文本缩进 Char"/>
    <w:basedOn w:val="a0"/>
    <w:link w:val="a5"/>
    <w:uiPriority w:val="99"/>
    <w:semiHidden/>
    <w:rsid w:val="00A15550"/>
    <w:rPr>
      <w:rFonts w:ascii="Times New Roman" w:eastAsia="宋体" w:hAnsi="Times New Roman" w:cs="Times New Roman"/>
      <w:szCs w:val="24"/>
    </w:rPr>
  </w:style>
  <w:style w:type="paragraph" w:styleId="2">
    <w:name w:val="Body Text First Indent 2"/>
    <w:basedOn w:val="a5"/>
    <w:link w:val="2Char"/>
    <w:uiPriority w:val="99"/>
    <w:semiHidden/>
    <w:unhideWhenUsed/>
    <w:rsid w:val="00A15550"/>
    <w:pPr>
      <w:ind w:firstLineChars="200" w:firstLine="420"/>
    </w:pPr>
  </w:style>
  <w:style w:type="character" w:customStyle="1" w:styleId="2Char">
    <w:name w:val="正文首行缩进 2 Char"/>
    <w:basedOn w:val="Char1"/>
    <w:link w:val="2"/>
    <w:uiPriority w:val="99"/>
    <w:semiHidden/>
    <w:rsid w:val="00A1555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Company>中国石油大学</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 佳婕</dc:creator>
  <cp:keywords/>
  <dc:description/>
  <cp:lastModifiedBy>贺 佳婕</cp:lastModifiedBy>
  <cp:revision>1</cp:revision>
  <dcterms:created xsi:type="dcterms:W3CDTF">2023-08-17T09:12:00Z</dcterms:created>
  <dcterms:modified xsi:type="dcterms:W3CDTF">2023-08-17T09:12:00Z</dcterms:modified>
</cp:coreProperties>
</file>