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CC" w:rsidRPr="005E5031" w:rsidRDefault="00E6760A" w:rsidP="005E5031">
      <w:pPr>
        <w:pStyle w:val="a5"/>
        <w:spacing w:before="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1" o:spid="_x0000_s2050" type="#_x0000_t202" style="position:absolute;left:0;text-align:left;margin-left:-25.1pt;margin-top:-57.75pt;width:56.6pt;height:41.85pt;z-index:251658240;mso-position-horizontal-relative:margin;mso-position-vertical-relative:margin" stroked="f">
            <v:textbox inset="0,0,0,0">
              <w:txbxContent>
                <w:p w:rsidR="00E6760A" w:rsidRPr="008970DD" w:rsidRDefault="00E6760A" w:rsidP="00E6760A">
                  <w:pPr>
                    <w:pStyle w:val="a8"/>
                    <w:rPr>
                      <w:rFonts w:ascii="黑体" w:hAnsi="黑体" w:hint="eastAsia"/>
                      <w:sz w:val="32"/>
                      <w:szCs w:val="32"/>
                    </w:rPr>
                  </w:pPr>
                  <w:r w:rsidRPr="008970DD">
                    <w:rPr>
                      <w:rFonts w:ascii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hAnsi="黑体" w:hint="eastAsia"/>
                      <w:sz w:val="32"/>
                      <w:szCs w:val="32"/>
                    </w:rPr>
                    <w:t>4</w:t>
                  </w:r>
                </w:p>
                <w:p w:rsidR="00E6760A" w:rsidRDefault="00E6760A" w:rsidP="00E6760A">
                  <w:pPr>
                    <w:pStyle w:val="a8"/>
                  </w:pPr>
                </w:p>
                <w:p w:rsidR="00E6760A" w:rsidRDefault="00E6760A" w:rsidP="00E6760A">
                  <w:pPr>
                    <w:pStyle w:val="a8"/>
                    <w:rPr>
                      <w:rFonts w:hint="eastAsia"/>
                    </w:rPr>
                  </w:pPr>
                </w:p>
                <w:p w:rsidR="00E6760A" w:rsidRDefault="00E6760A" w:rsidP="00E6760A">
                  <w:pPr>
                    <w:pStyle w:val="a8"/>
                  </w:pPr>
                </w:p>
              </w:txbxContent>
            </v:textbox>
            <w10:wrap anchorx="margin" anchory="margin"/>
            <w10:anchorlock/>
          </v:shape>
        </w:pict>
      </w:r>
      <w:r w:rsidR="008F34CC" w:rsidRPr="005E5031">
        <w:rPr>
          <w:b/>
        </w:rPr>
        <w:t>Discharge standard of water from aquaculture</w:t>
      </w:r>
    </w:p>
    <w:p w:rsidR="008F34CC" w:rsidRPr="008F34CC" w:rsidRDefault="008F34CC" w:rsidP="008F34CC">
      <w:pPr>
        <w:pStyle w:val="a5"/>
        <w:spacing w:before="0"/>
        <w:rPr>
          <w:sz w:val="32"/>
          <w:szCs w:val="32"/>
        </w:rPr>
      </w:pPr>
    </w:p>
    <w:p w:rsidR="008F34CC" w:rsidRPr="005E5031" w:rsidRDefault="008F34CC" w:rsidP="005E5031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5031">
        <w:rPr>
          <w:rFonts w:ascii="Times New Roman" w:hAnsi="Times New Roman" w:cs="Times New Roman"/>
          <w:b/>
          <w:sz w:val="28"/>
          <w:szCs w:val="28"/>
        </w:rPr>
        <w:t>Abstract:</w:t>
      </w:r>
    </w:p>
    <w:p w:rsidR="002C7F33" w:rsidRDefault="008F34CC" w:rsidP="00564DEA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sz w:val="28"/>
          <w:szCs w:val="28"/>
        </w:rPr>
      </w:pPr>
      <w:r w:rsidRPr="002C7F33">
        <w:rPr>
          <w:rFonts w:ascii="Times New Roman" w:hAnsi="Times New Roman" w:cs="Times New Roman" w:hint="eastAsia"/>
          <w:sz w:val="28"/>
          <w:szCs w:val="28"/>
        </w:rPr>
        <w:t xml:space="preserve">This </w:t>
      </w:r>
      <w:r w:rsidR="00277A5E" w:rsidRPr="002C7F33">
        <w:rPr>
          <w:rFonts w:ascii="Times New Roman" w:hAnsi="Times New Roman" w:cs="Times New Roman"/>
          <w:sz w:val="28"/>
          <w:szCs w:val="28"/>
        </w:rPr>
        <w:t>standard</w:t>
      </w:r>
      <w:r w:rsidRPr="002C7F33">
        <w:rPr>
          <w:rFonts w:ascii="Times New Roman" w:hAnsi="Times New Roman" w:cs="Times New Roman" w:hint="eastAsia"/>
          <w:sz w:val="28"/>
          <w:szCs w:val="28"/>
        </w:rPr>
        <w:t xml:space="preserve"> stipulates the discharge </w:t>
      </w:r>
      <w:r w:rsidR="00277A5E" w:rsidRPr="002C7F33">
        <w:rPr>
          <w:rFonts w:ascii="Times New Roman" w:hAnsi="Times New Roman" w:cs="Times New Roman"/>
          <w:sz w:val="28"/>
          <w:szCs w:val="28"/>
        </w:rPr>
        <w:t>and</w:t>
      </w:r>
      <w:r w:rsidRPr="002C7F33">
        <w:rPr>
          <w:rFonts w:ascii="Times New Roman" w:hAnsi="Times New Roman" w:cs="Times New Roman" w:hint="eastAsia"/>
          <w:sz w:val="28"/>
          <w:szCs w:val="28"/>
        </w:rPr>
        <w:t xml:space="preserve"> monitoring requirements, result </w:t>
      </w:r>
      <w:r w:rsidR="00277A5E" w:rsidRPr="002C7F33">
        <w:rPr>
          <w:rFonts w:ascii="Times New Roman" w:hAnsi="Times New Roman" w:cs="Times New Roman"/>
          <w:sz w:val="28"/>
          <w:szCs w:val="28"/>
        </w:rPr>
        <w:t>evalu</w:t>
      </w:r>
      <w:r w:rsidRPr="002C7F33">
        <w:rPr>
          <w:rFonts w:ascii="Times New Roman" w:hAnsi="Times New Roman" w:cs="Times New Roman" w:hint="eastAsia"/>
          <w:sz w:val="28"/>
          <w:szCs w:val="28"/>
        </w:rPr>
        <w:t>ation, implementation and supervision</w:t>
      </w:r>
      <w:r w:rsidR="00277A5E" w:rsidRPr="002C7F33">
        <w:rPr>
          <w:rFonts w:ascii="Times New Roman" w:hAnsi="Times New Roman" w:cs="Times New Roman"/>
          <w:sz w:val="28"/>
          <w:szCs w:val="28"/>
        </w:rPr>
        <w:t>of water discharge</w:t>
      </w:r>
      <w:r w:rsidR="005E5031">
        <w:rPr>
          <w:rFonts w:ascii="Times New Roman" w:hAnsi="Times New Roman" w:cs="Times New Roman"/>
          <w:sz w:val="28"/>
          <w:szCs w:val="28"/>
        </w:rPr>
        <w:t>d</w:t>
      </w:r>
      <w:r w:rsidR="00277A5E" w:rsidRPr="002C7F33">
        <w:rPr>
          <w:rFonts w:ascii="Times New Roman" w:hAnsi="Times New Roman" w:cs="Times New Roman"/>
          <w:sz w:val="28"/>
          <w:szCs w:val="28"/>
        </w:rPr>
        <w:t xml:space="preserve"> from aquaculture in Shanghai.</w:t>
      </w:r>
      <w:r w:rsidR="00564DEA">
        <w:rPr>
          <w:rFonts w:ascii="Times New Roman" w:hAnsi="Times New Roman" w:cs="Times New Roman"/>
          <w:sz w:val="28"/>
          <w:szCs w:val="28"/>
        </w:rPr>
        <w:t>It</w:t>
      </w:r>
      <w:r w:rsidR="002C7F33" w:rsidRPr="00564DEA">
        <w:rPr>
          <w:rFonts w:ascii="Times New Roman" w:hAnsi="Times New Roman" w:cs="Times New Roman"/>
          <w:sz w:val="28"/>
          <w:szCs w:val="28"/>
        </w:rPr>
        <w:t>is applicable to the water discharge</w:t>
      </w:r>
      <w:r w:rsidR="005E5031" w:rsidRPr="00564DEA">
        <w:rPr>
          <w:rFonts w:ascii="Times New Roman" w:hAnsi="Times New Roman" w:cs="Times New Roman"/>
          <w:sz w:val="28"/>
          <w:szCs w:val="28"/>
        </w:rPr>
        <w:t>d</w:t>
      </w:r>
      <w:r w:rsidR="002C7F33" w:rsidRPr="00564DEA">
        <w:rPr>
          <w:rFonts w:ascii="Times New Roman" w:hAnsi="Times New Roman" w:cs="Times New Roman"/>
          <w:sz w:val="28"/>
          <w:szCs w:val="28"/>
        </w:rPr>
        <w:t xml:space="preserve"> from closed freshwater aquaculture such as pond aquaculture and factory aquaculture in Shanghai.</w:t>
      </w:r>
    </w:p>
    <w:p w:rsidR="00564DEA" w:rsidRPr="00564DEA" w:rsidRDefault="00564DEA" w:rsidP="00564DEA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sz w:val="28"/>
          <w:szCs w:val="28"/>
        </w:rPr>
      </w:pPr>
      <w:r w:rsidRPr="00564DEA">
        <w:rPr>
          <w:rFonts w:ascii="Times New Roman" w:hAnsi="Times New Roman" w:cs="Times New Roman"/>
          <w:sz w:val="28"/>
          <w:szCs w:val="28"/>
        </w:rPr>
        <w:t>The sam</w:t>
      </w:r>
      <w:r>
        <w:rPr>
          <w:rFonts w:ascii="Times New Roman" w:hAnsi="Times New Roman" w:cs="Times New Roman"/>
          <w:sz w:val="28"/>
          <w:szCs w:val="28"/>
        </w:rPr>
        <w:t>pling point of aquaculture tail</w:t>
      </w:r>
      <w:r w:rsidRPr="00564DEA">
        <w:rPr>
          <w:rFonts w:ascii="Times New Roman" w:hAnsi="Times New Roman" w:cs="Times New Roman"/>
          <w:sz w:val="28"/>
          <w:szCs w:val="28"/>
        </w:rPr>
        <w:t xml:space="preserve">water should be </w:t>
      </w:r>
      <w:r w:rsidR="00E508C0">
        <w:rPr>
          <w:rFonts w:ascii="Times New Roman" w:hAnsi="Times New Roman" w:cs="Times New Roman"/>
          <w:sz w:val="28"/>
          <w:szCs w:val="28"/>
        </w:rPr>
        <w:t>set</w:t>
      </w:r>
      <w:r w:rsidRPr="00564DEA">
        <w:rPr>
          <w:rFonts w:ascii="Times New Roman" w:hAnsi="Times New Roman" w:cs="Times New Roman"/>
          <w:sz w:val="28"/>
          <w:szCs w:val="28"/>
        </w:rPr>
        <w:t xml:space="preserve"> at the disc</w:t>
      </w:r>
      <w:r>
        <w:rPr>
          <w:rFonts w:ascii="Times New Roman" w:hAnsi="Times New Roman" w:cs="Times New Roman"/>
          <w:sz w:val="28"/>
          <w:szCs w:val="28"/>
        </w:rPr>
        <w:t>harge outlet at the end of tail</w:t>
      </w:r>
      <w:r w:rsidRPr="00564DEA">
        <w:rPr>
          <w:rFonts w:ascii="Times New Roman" w:hAnsi="Times New Roman" w:cs="Times New Roman"/>
          <w:sz w:val="28"/>
          <w:szCs w:val="28"/>
        </w:rPr>
        <w:t xml:space="preserve">water treatmentfacilities. If there are multiple </w:t>
      </w:r>
      <w:r>
        <w:rPr>
          <w:rFonts w:ascii="Times New Roman" w:hAnsi="Times New Roman" w:cs="Times New Roman"/>
          <w:sz w:val="28"/>
          <w:szCs w:val="28"/>
        </w:rPr>
        <w:t xml:space="preserve">discharge </w:t>
      </w:r>
      <w:r w:rsidRPr="00564DEA">
        <w:rPr>
          <w:rFonts w:ascii="Times New Roman" w:hAnsi="Times New Roman" w:cs="Times New Roman"/>
          <w:sz w:val="28"/>
          <w:szCs w:val="28"/>
        </w:rPr>
        <w:t>out</w:t>
      </w:r>
      <w:r>
        <w:rPr>
          <w:rFonts w:ascii="Times New Roman" w:hAnsi="Times New Roman" w:cs="Times New Roman"/>
          <w:sz w:val="28"/>
          <w:szCs w:val="28"/>
        </w:rPr>
        <w:t>let</w:t>
      </w:r>
      <w:r w:rsidRPr="00564DEA">
        <w:rPr>
          <w:rFonts w:ascii="Times New Roman" w:hAnsi="Times New Roman" w:cs="Times New Roman"/>
          <w:sz w:val="28"/>
          <w:szCs w:val="28"/>
        </w:rPr>
        <w:t xml:space="preserve">s, separate sampling points should be </w:t>
      </w:r>
      <w:r w:rsidR="00E508C0">
        <w:rPr>
          <w:rFonts w:ascii="Times New Roman" w:hAnsi="Times New Roman" w:cs="Times New Roman"/>
          <w:sz w:val="28"/>
          <w:szCs w:val="28"/>
        </w:rPr>
        <w:t>set</w:t>
      </w:r>
      <w:r w:rsidRPr="00564DEA">
        <w:rPr>
          <w:rFonts w:ascii="Times New Roman" w:hAnsi="Times New Roman" w:cs="Times New Roman"/>
          <w:sz w:val="28"/>
          <w:szCs w:val="28"/>
        </w:rPr>
        <w:t>.</w:t>
      </w:r>
    </w:p>
    <w:p w:rsidR="00564DEA" w:rsidRPr="00564DEA" w:rsidRDefault="00564DEA" w:rsidP="00564DEA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sz w:val="28"/>
          <w:szCs w:val="28"/>
        </w:rPr>
      </w:pPr>
      <w:r w:rsidRPr="00564DEA">
        <w:rPr>
          <w:rFonts w:ascii="Times New Roman" w:hAnsi="Times New Roman" w:cs="Times New Roman"/>
          <w:sz w:val="28"/>
          <w:szCs w:val="28"/>
        </w:rPr>
        <w:t xml:space="preserve">This </w:t>
      </w:r>
      <w:r w:rsidR="00E508C0">
        <w:rPr>
          <w:rFonts w:ascii="Times New Roman" w:hAnsi="Times New Roman" w:cs="Times New Roman"/>
          <w:sz w:val="28"/>
          <w:szCs w:val="28"/>
        </w:rPr>
        <w:t>standard</w:t>
      </w:r>
      <w:r w:rsidRPr="00564DEA">
        <w:rPr>
          <w:rFonts w:ascii="Times New Roman" w:hAnsi="Times New Roman" w:cs="Times New Roman"/>
          <w:sz w:val="28"/>
          <w:szCs w:val="28"/>
        </w:rPr>
        <w:t xml:space="preserve"> adopts single factor evaluation method. When a single monitoring item exceeds the standard, </w:t>
      </w:r>
      <w:r w:rsidR="00E508C0">
        <w:rPr>
          <w:rFonts w:ascii="Times New Roman" w:hAnsi="Times New Roman" w:cs="Times New Roman"/>
          <w:sz w:val="28"/>
          <w:szCs w:val="28"/>
        </w:rPr>
        <w:t>this tailwater samplewill be</w:t>
      </w:r>
      <w:r w:rsidRPr="00564DEA">
        <w:rPr>
          <w:rFonts w:ascii="Times New Roman" w:hAnsi="Times New Roman" w:cs="Times New Roman"/>
          <w:sz w:val="28"/>
          <w:szCs w:val="28"/>
        </w:rPr>
        <w:t xml:space="preserve"> judged not </w:t>
      </w:r>
      <w:r w:rsidR="00E508C0">
        <w:rPr>
          <w:rFonts w:ascii="Times New Roman" w:hAnsi="Times New Roman" w:cs="Times New Roman"/>
          <w:sz w:val="28"/>
          <w:szCs w:val="28"/>
        </w:rPr>
        <w:t xml:space="preserve">to </w:t>
      </w:r>
      <w:r w:rsidRPr="00564DEA">
        <w:rPr>
          <w:rFonts w:ascii="Times New Roman" w:hAnsi="Times New Roman" w:cs="Times New Roman"/>
          <w:sz w:val="28"/>
          <w:szCs w:val="28"/>
        </w:rPr>
        <w:t>meet the</w:t>
      </w:r>
      <w:r w:rsidR="00E508C0">
        <w:rPr>
          <w:rFonts w:ascii="Times New Roman" w:hAnsi="Times New Roman" w:cs="Times New Roman"/>
          <w:sz w:val="28"/>
          <w:szCs w:val="28"/>
        </w:rPr>
        <w:t xml:space="preserve"> discharge</w:t>
      </w:r>
      <w:r w:rsidRPr="00564DEA">
        <w:rPr>
          <w:rFonts w:ascii="Times New Roman" w:hAnsi="Times New Roman" w:cs="Times New Roman"/>
          <w:sz w:val="28"/>
          <w:szCs w:val="28"/>
        </w:rPr>
        <w:t xml:space="preserve"> standard.</w:t>
      </w:r>
    </w:p>
    <w:p w:rsidR="000027C6" w:rsidRDefault="000027C6" w:rsidP="005E503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sz w:val="28"/>
          <w:szCs w:val="28"/>
        </w:rPr>
      </w:pPr>
      <w:r w:rsidRPr="000027C6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water </w:t>
      </w:r>
      <w:r w:rsidRPr="000027C6">
        <w:rPr>
          <w:rFonts w:ascii="Times New Roman" w:hAnsi="Times New Roman" w:cs="Times New Roman"/>
          <w:sz w:val="28"/>
          <w:szCs w:val="28"/>
        </w:rPr>
        <w:t>discharge</w:t>
      </w:r>
      <w:r w:rsidR="005E503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from</w:t>
      </w:r>
      <w:r w:rsidRPr="000027C6">
        <w:rPr>
          <w:rFonts w:ascii="Times New Roman" w:hAnsi="Times New Roman" w:cs="Times New Roman"/>
          <w:sz w:val="28"/>
          <w:szCs w:val="28"/>
        </w:rPr>
        <w:t xml:space="preserve"> existing aquaculture </w:t>
      </w:r>
      <w:r>
        <w:rPr>
          <w:rFonts w:ascii="Times New Roman" w:hAnsi="Times New Roman" w:cs="Times New Roman"/>
          <w:sz w:val="28"/>
          <w:szCs w:val="28"/>
        </w:rPr>
        <w:t>farms</w:t>
      </w:r>
      <w:r w:rsidRPr="000027C6">
        <w:rPr>
          <w:rFonts w:ascii="Times New Roman" w:hAnsi="Times New Roman" w:cs="Times New Roman"/>
          <w:sz w:val="28"/>
          <w:szCs w:val="28"/>
        </w:rPr>
        <w:t xml:space="preserve"> must begin to implement the standard </w:t>
      </w:r>
      <w:r>
        <w:rPr>
          <w:rFonts w:ascii="Times New Roman" w:hAnsi="Times New Roman" w:cs="Times New Roman"/>
          <w:sz w:val="28"/>
          <w:szCs w:val="28"/>
        </w:rPr>
        <w:t xml:space="preserve">from </w:t>
      </w:r>
      <w:r w:rsidRPr="000027C6">
        <w:rPr>
          <w:rFonts w:ascii="Times New Roman" w:hAnsi="Times New Roman" w:cs="Times New Roman"/>
          <w:sz w:val="28"/>
          <w:szCs w:val="28"/>
        </w:rPr>
        <w:t>June 1, 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27C6">
        <w:rPr>
          <w:rFonts w:ascii="Times New Roman" w:hAnsi="Times New Roman" w:cs="Times New Roman"/>
          <w:sz w:val="28"/>
          <w:szCs w:val="28"/>
        </w:rPr>
        <w:t xml:space="preserve">The discharge of new (modified, expanded) aquaculture </w:t>
      </w:r>
      <w:r>
        <w:rPr>
          <w:rFonts w:ascii="Times New Roman" w:hAnsi="Times New Roman" w:cs="Times New Roman"/>
          <w:sz w:val="28"/>
          <w:szCs w:val="28"/>
        </w:rPr>
        <w:t>farms</w:t>
      </w:r>
      <w:r w:rsidRPr="000027C6">
        <w:rPr>
          <w:rFonts w:ascii="Times New Roman" w:hAnsi="Times New Roman" w:cs="Times New Roman"/>
          <w:sz w:val="28"/>
          <w:szCs w:val="28"/>
        </w:rPr>
        <w:t xml:space="preserve"> must implement the standard when it comes into effect. </w:t>
      </w:r>
    </w:p>
    <w:p w:rsidR="00BC5B80" w:rsidRPr="00AB5912" w:rsidRDefault="00AB5912" w:rsidP="005E5031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357" w:firstLineChars="0" w:hanging="357"/>
        <w:rPr>
          <w:rFonts w:ascii="Times New Roman" w:hAnsi="Times New Roman" w:cs="Times New Roman"/>
          <w:sz w:val="28"/>
          <w:szCs w:val="28"/>
        </w:rPr>
      </w:pPr>
      <w:r w:rsidRPr="00AB5912">
        <w:rPr>
          <w:rFonts w:ascii="Times New Roman" w:hAnsi="Times New Roman" w:cs="Times New Roman"/>
          <w:sz w:val="28"/>
          <w:szCs w:val="28"/>
        </w:rPr>
        <w:t xml:space="preserve">The aquaculture tailwater is discharged to all surface </w:t>
      </w:r>
      <w:r w:rsidR="005E5031">
        <w:rPr>
          <w:rFonts w:ascii="Times New Roman" w:hAnsi="Times New Roman" w:cs="Times New Roman"/>
          <w:sz w:val="28"/>
          <w:szCs w:val="28"/>
        </w:rPr>
        <w:t>water</w:t>
      </w:r>
      <w:r>
        <w:rPr>
          <w:rFonts w:ascii="Times New Roman" w:hAnsi="Times New Roman" w:cs="Times New Roman"/>
          <w:sz w:val="28"/>
          <w:szCs w:val="28"/>
        </w:rPr>
        <w:t xml:space="preserve"> in Shanghai. </w:t>
      </w:r>
      <w:r w:rsidR="00BC5B80" w:rsidRPr="00AB5912">
        <w:rPr>
          <w:rFonts w:ascii="Times New Roman" w:hAnsi="Times New Roman" w:cs="Times New Roman"/>
          <w:sz w:val="28"/>
          <w:szCs w:val="28"/>
        </w:rPr>
        <w:t xml:space="preserve">The tailwater limits are: </w:t>
      </w:r>
    </w:p>
    <w:tbl>
      <w:tblPr>
        <w:tblW w:w="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1938"/>
        <w:gridCol w:w="1938"/>
      </w:tblGrid>
      <w:tr w:rsidR="00BC5B80" w:rsidRPr="00AB5912" w:rsidTr="00450401">
        <w:trPr>
          <w:trHeight w:hRule="exact" w:val="510"/>
          <w:tblHeader/>
          <w:jc w:val="center"/>
        </w:trPr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b/>
                <w:kern w:val="0"/>
                <w:sz w:val="24"/>
              </w:rPr>
              <w:t>No.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b/>
                <w:kern w:val="0"/>
                <w:sz w:val="24"/>
              </w:rPr>
              <w:t>Item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L</w:t>
            </w:r>
            <w:r w:rsidRPr="00AB5912">
              <w:rPr>
                <w:rFonts w:ascii="Times New Roman" w:hAnsi="Times New Roman" w:cs="Times New Roman"/>
                <w:b/>
                <w:kern w:val="0"/>
                <w:sz w:val="24"/>
              </w:rPr>
              <w:t>imit</w:t>
            </w:r>
          </w:p>
        </w:tc>
      </w:tr>
      <w:tr w:rsidR="00BC5B8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SS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，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mg/L</w:t>
            </w:r>
          </w:p>
        </w:tc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≤85</w:t>
            </w:r>
          </w:p>
        </w:tc>
      </w:tr>
      <w:tr w:rsidR="00E508C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E508C0" w:rsidRPr="00AB5912" w:rsidRDefault="00E508C0" w:rsidP="00E508C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958" w:type="dxa"/>
            <w:vAlign w:val="center"/>
          </w:tcPr>
          <w:p w:rsidR="00E508C0" w:rsidRPr="00AB5912" w:rsidRDefault="00E508C0" w:rsidP="00E50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pH</w:t>
            </w:r>
          </w:p>
        </w:tc>
        <w:tc>
          <w:tcPr>
            <w:tcW w:w="958" w:type="dxa"/>
            <w:vAlign w:val="center"/>
          </w:tcPr>
          <w:p w:rsidR="00E508C0" w:rsidRPr="00AB5912" w:rsidRDefault="00E508C0" w:rsidP="00E50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6.0</w:t>
            </w:r>
            <w:r w:rsidRPr="00AB5912">
              <w:rPr>
                <w:rFonts w:ascii="Times New Roman" w:hAnsi="Times New Roman" w:cs="Times New Roman"/>
                <w:sz w:val="24"/>
              </w:rPr>
              <w:t>～</w:t>
            </w:r>
            <w:r w:rsidRPr="00AB5912">
              <w:rPr>
                <w:rFonts w:ascii="Times New Roman" w:hAnsi="Times New Roman" w:cs="Times New Roman"/>
                <w:sz w:val="24"/>
              </w:rPr>
              <w:t>9.0</w:t>
            </w:r>
          </w:p>
        </w:tc>
      </w:tr>
      <w:tr w:rsidR="00BC5B8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TN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，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mg/L</w:t>
            </w:r>
          </w:p>
        </w:tc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≤5.0</w:t>
            </w:r>
          </w:p>
        </w:tc>
      </w:tr>
      <w:tr w:rsidR="00BC5B8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TP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，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mg/L</w:t>
            </w:r>
          </w:p>
        </w:tc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≤0.8</w:t>
            </w:r>
          </w:p>
        </w:tc>
      </w:tr>
      <w:tr w:rsidR="00BC5B8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COD</w:t>
            </w:r>
            <w:r w:rsidRPr="00AB5912">
              <w:rPr>
                <w:rFonts w:ascii="Times New Roman" w:hAnsi="Times New Roman" w:cs="Times New Roman"/>
                <w:sz w:val="24"/>
                <w:vertAlign w:val="subscript"/>
              </w:rPr>
              <w:t>Mn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，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mg/L</w:t>
            </w:r>
          </w:p>
        </w:tc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≤25.0</w:t>
            </w:r>
          </w:p>
        </w:tc>
      </w:tr>
      <w:tr w:rsidR="00BC5B80" w:rsidRPr="00AB5912" w:rsidTr="00450401">
        <w:trPr>
          <w:trHeight w:hRule="exact" w:val="510"/>
          <w:jc w:val="center"/>
        </w:trPr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eastAsia="等线" w:hAnsi="Times New Roman" w:cs="Times New Roman"/>
                <w:b/>
                <w:kern w:val="0"/>
                <w:sz w:val="24"/>
              </w:rPr>
            </w:pPr>
            <w:r w:rsidRPr="00AB5912">
              <w:rPr>
                <w:rFonts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958" w:type="dxa"/>
            <w:vAlign w:val="center"/>
          </w:tcPr>
          <w:p w:rsidR="00BC5B80" w:rsidRPr="00AB5912" w:rsidRDefault="00AB5912" w:rsidP="00E50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12">
              <w:rPr>
                <w:rFonts w:ascii="Times New Roman" w:eastAsia="等线" w:hAnsi="Times New Roman" w:cs="Times New Roman"/>
                <w:kern w:val="0"/>
                <w:sz w:val="24"/>
              </w:rPr>
              <w:t>NH</w:t>
            </w:r>
            <w:r w:rsidRPr="00AB5912">
              <w:rPr>
                <w:rFonts w:ascii="Times New Roman" w:eastAsia="等线" w:hAnsi="Times New Roman" w:cs="Times New Roman"/>
                <w:kern w:val="0"/>
                <w:sz w:val="24"/>
                <w:vertAlign w:val="subscript"/>
              </w:rPr>
              <w:t>3</w:t>
            </w:r>
            <w:r w:rsidRPr="00AB5912">
              <w:rPr>
                <w:rFonts w:ascii="Times New Roman" w:eastAsia="等线" w:hAnsi="Times New Roman" w:cs="Times New Roman"/>
                <w:kern w:val="0"/>
                <w:sz w:val="24"/>
              </w:rPr>
              <w:t>-N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，</w:t>
            </w:r>
            <w:r w:rsidR="00BC5B80" w:rsidRPr="00AB5912">
              <w:rPr>
                <w:rFonts w:ascii="Times New Roman" w:hAnsi="Times New Roman" w:cs="Times New Roman"/>
                <w:sz w:val="24"/>
              </w:rPr>
              <w:t>mg/L</w:t>
            </w:r>
          </w:p>
        </w:tc>
        <w:tc>
          <w:tcPr>
            <w:tcW w:w="958" w:type="dxa"/>
            <w:vAlign w:val="center"/>
          </w:tcPr>
          <w:p w:rsidR="00BC5B80" w:rsidRPr="00AB5912" w:rsidRDefault="00BC5B80" w:rsidP="00E50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5912">
              <w:rPr>
                <w:rFonts w:ascii="Times New Roman" w:hAnsi="Times New Roman" w:cs="Times New Roman"/>
                <w:sz w:val="24"/>
              </w:rPr>
              <w:t>≤2.0</w:t>
            </w:r>
          </w:p>
        </w:tc>
      </w:tr>
    </w:tbl>
    <w:p w:rsidR="00BC5B80" w:rsidRPr="00602144" w:rsidRDefault="00BC5B80" w:rsidP="00450401">
      <w:pPr>
        <w:rPr>
          <w:rFonts w:ascii="Times New Roman" w:hAnsi="Times New Roman" w:cs="Times New Roman"/>
          <w:sz w:val="28"/>
          <w:szCs w:val="28"/>
        </w:rPr>
      </w:pPr>
    </w:p>
    <w:sectPr w:rsidR="00BC5B80" w:rsidRPr="00602144" w:rsidSect="0010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33" w:rsidRDefault="00A03A33" w:rsidP="008F34CC">
      <w:r>
        <w:separator/>
      </w:r>
    </w:p>
  </w:endnote>
  <w:endnote w:type="continuationSeparator" w:id="1">
    <w:p w:rsidR="00A03A33" w:rsidRDefault="00A03A33" w:rsidP="008F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33" w:rsidRDefault="00A03A33" w:rsidP="008F34CC">
      <w:r>
        <w:separator/>
      </w:r>
    </w:p>
  </w:footnote>
  <w:footnote w:type="continuationSeparator" w:id="1">
    <w:p w:rsidR="00A03A33" w:rsidRDefault="00A03A33" w:rsidP="008F3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2795"/>
    <w:multiLevelType w:val="singleLevel"/>
    <w:tmpl w:val="1AD0279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406A6CC2"/>
    <w:multiLevelType w:val="hybridMultilevel"/>
    <w:tmpl w:val="01267A28"/>
    <w:lvl w:ilvl="0" w:tplc="BE64B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C58"/>
    <w:rsid w:val="000027C6"/>
    <w:rsid w:val="00105BD5"/>
    <w:rsid w:val="002142FF"/>
    <w:rsid w:val="002158F5"/>
    <w:rsid w:val="00277A5E"/>
    <w:rsid w:val="002C7F33"/>
    <w:rsid w:val="00450401"/>
    <w:rsid w:val="00564DEA"/>
    <w:rsid w:val="005D3D95"/>
    <w:rsid w:val="005E5031"/>
    <w:rsid w:val="00602144"/>
    <w:rsid w:val="00656329"/>
    <w:rsid w:val="00723ECC"/>
    <w:rsid w:val="008D0E8B"/>
    <w:rsid w:val="008F34CC"/>
    <w:rsid w:val="00A03A33"/>
    <w:rsid w:val="00AB5912"/>
    <w:rsid w:val="00BC5B80"/>
    <w:rsid w:val="00E466F9"/>
    <w:rsid w:val="00E508C0"/>
    <w:rsid w:val="00E6760A"/>
    <w:rsid w:val="00E8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4CC"/>
    <w:rPr>
      <w:sz w:val="18"/>
      <w:szCs w:val="18"/>
    </w:rPr>
  </w:style>
  <w:style w:type="paragraph" w:customStyle="1" w:styleId="a5">
    <w:name w:val="封面标准英文名称"/>
    <w:rsid w:val="008F34CC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6">
    <w:name w:val="Normal (Web)"/>
    <w:basedOn w:val="a"/>
    <w:uiPriority w:val="99"/>
    <w:unhideWhenUsed/>
    <w:rsid w:val="008F34CC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2C7F33"/>
    <w:pPr>
      <w:ind w:firstLineChars="200" w:firstLine="420"/>
    </w:pPr>
  </w:style>
  <w:style w:type="paragraph" w:customStyle="1" w:styleId="a8">
    <w:name w:val="文献分类号"/>
    <w:rsid w:val="00E6760A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7660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30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437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226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995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728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8853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5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9939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079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5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2487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848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5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5312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905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6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470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1D49-1D11-495B-B155-5F90C4D9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刘蔚敏</cp:lastModifiedBy>
  <cp:revision>2</cp:revision>
  <dcterms:created xsi:type="dcterms:W3CDTF">2022-10-26T02:37:00Z</dcterms:created>
  <dcterms:modified xsi:type="dcterms:W3CDTF">2022-10-26T02:37:00Z</dcterms:modified>
</cp:coreProperties>
</file>